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857E8" w14:textId="77777777" w:rsidR="00727282" w:rsidRPr="00727282" w:rsidRDefault="00727282" w:rsidP="00BC4EC7">
      <w:pPr>
        <w:jc w:val="center"/>
        <w:rPr>
          <w:b/>
        </w:rPr>
      </w:pPr>
      <w:bookmarkStart w:id="0" w:name="_Toc310871097"/>
      <w:bookmarkStart w:id="1" w:name="_Toc347217792"/>
      <w:bookmarkStart w:id="2" w:name="_Toc451177933"/>
      <w:bookmarkStart w:id="3" w:name="_Toc452487288"/>
      <w:r w:rsidRPr="00727282">
        <w:rPr>
          <w:b/>
        </w:rPr>
        <w:t>ECONOMIC FACTORS AND PROFITABILITY OF COMMERCIAL BANKS IN RWANDA</w:t>
      </w:r>
    </w:p>
    <w:p w14:paraId="4CAD3DA3" w14:textId="77777777" w:rsidR="00E62866" w:rsidRDefault="00E62866" w:rsidP="00727282">
      <w:pPr>
        <w:rPr>
          <w:i/>
        </w:rPr>
      </w:pPr>
    </w:p>
    <w:p w14:paraId="19248440" w14:textId="02741A84" w:rsidR="00727282" w:rsidRPr="00727282" w:rsidRDefault="00727282" w:rsidP="00727282">
      <w:pPr>
        <w:rPr>
          <w:b/>
        </w:rPr>
      </w:pPr>
      <w:r w:rsidRPr="00727282">
        <w:rPr>
          <w:b/>
        </w:rPr>
        <w:t>First Author</w:t>
      </w:r>
    </w:p>
    <w:p w14:paraId="72CBF525" w14:textId="5D2D279B" w:rsidR="00727282" w:rsidRDefault="00727282" w:rsidP="00727282">
      <w:r>
        <w:t xml:space="preserve">Names: </w:t>
      </w:r>
      <w:proofErr w:type="spellStart"/>
      <w:r w:rsidR="00E62866" w:rsidRPr="00E62866">
        <w:t>Alyda</w:t>
      </w:r>
      <w:proofErr w:type="spellEnd"/>
      <w:r w:rsidR="00E62866" w:rsidRPr="00E62866">
        <w:t xml:space="preserve"> </w:t>
      </w:r>
      <w:proofErr w:type="spellStart"/>
      <w:r w:rsidR="00E62866" w:rsidRPr="00E62866">
        <w:t>Zubeda</w:t>
      </w:r>
      <w:proofErr w:type="spellEnd"/>
      <w:r w:rsidR="00E62866" w:rsidRPr="00E62866">
        <w:t xml:space="preserve"> </w:t>
      </w:r>
      <w:proofErr w:type="spellStart"/>
      <w:r w:rsidR="00E62866" w:rsidRPr="00E62866">
        <w:t>Mizeroyabadege</w:t>
      </w:r>
      <w:proofErr w:type="spellEnd"/>
    </w:p>
    <w:p w14:paraId="68139765" w14:textId="28554837" w:rsidR="00E62866" w:rsidRDefault="00727282" w:rsidP="00727282">
      <w:r>
        <w:t xml:space="preserve">Email: </w:t>
      </w:r>
      <w:hyperlink r:id="rId8" w:history="1">
        <w:r w:rsidRPr="001101F3">
          <w:rPr>
            <w:rStyle w:val="Hyperlink"/>
          </w:rPr>
          <w:t>alydazuzu@gmail.com</w:t>
        </w:r>
      </w:hyperlink>
    </w:p>
    <w:p w14:paraId="30100424" w14:textId="6AC036D3" w:rsidR="00727282" w:rsidRDefault="00727282" w:rsidP="00727282">
      <w:r>
        <w:t xml:space="preserve">Institutions: Mount Kenya University / </w:t>
      </w:r>
      <w:proofErr w:type="spellStart"/>
      <w:r>
        <w:t>AlSafwa</w:t>
      </w:r>
      <w:proofErr w:type="spellEnd"/>
      <w:r>
        <w:t xml:space="preserve"> Primary School-Rwanda</w:t>
      </w:r>
    </w:p>
    <w:p w14:paraId="2AA4D1CC" w14:textId="544F7212" w:rsidR="00727282" w:rsidRPr="00727282" w:rsidRDefault="00727282" w:rsidP="00727282">
      <w:pPr>
        <w:rPr>
          <w:b/>
        </w:rPr>
      </w:pPr>
      <w:bookmarkStart w:id="4" w:name="_GoBack"/>
      <w:r w:rsidRPr="00727282">
        <w:rPr>
          <w:b/>
        </w:rPr>
        <w:t>Second Author</w:t>
      </w:r>
    </w:p>
    <w:p w14:paraId="70B990CF" w14:textId="041AF273" w:rsidR="00727282" w:rsidRDefault="00727282" w:rsidP="00727282">
      <w:r>
        <w:t>Names:</w:t>
      </w:r>
      <w:r>
        <w:t xml:space="preserve"> </w:t>
      </w:r>
      <w:proofErr w:type="spellStart"/>
      <w:r w:rsidR="00E62866">
        <w:t>Yahaya</w:t>
      </w:r>
      <w:proofErr w:type="spellEnd"/>
      <w:r w:rsidR="00E62866">
        <w:t xml:space="preserve"> </w:t>
      </w:r>
      <w:proofErr w:type="spellStart"/>
      <w:r w:rsidR="00E62866">
        <w:t>Agaba</w:t>
      </w:r>
      <w:proofErr w:type="spellEnd"/>
      <w:r w:rsidR="00E62866">
        <w:t xml:space="preserve"> </w:t>
      </w:r>
      <w:proofErr w:type="spellStart"/>
      <w:r w:rsidR="00E62866">
        <w:t>Matovu</w:t>
      </w:r>
      <w:proofErr w:type="spellEnd"/>
    </w:p>
    <w:bookmarkEnd w:id="4"/>
    <w:p w14:paraId="4350B8F3" w14:textId="1E20216C" w:rsidR="00E62866" w:rsidRDefault="00727282" w:rsidP="00727282">
      <w:r>
        <w:t>Email</w:t>
      </w:r>
      <w:proofErr w:type="gramStart"/>
      <w:r>
        <w:t>:</w:t>
      </w:r>
      <w:proofErr w:type="gramEnd"/>
      <w:r>
        <w:fldChar w:fldCharType="begin"/>
      </w:r>
      <w:r>
        <w:instrText xml:space="preserve"> HYPERLINK "mailto:A</w:instrText>
      </w:r>
      <w:r>
        <w:instrText>gabayahya2011@gmail.com</w:instrText>
      </w:r>
      <w:r>
        <w:instrText xml:space="preserve">" </w:instrText>
      </w:r>
      <w:r>
        <w:fldChar w:fldCharType="separate"/>
      </w:r>
      <w:r w:rsidRPr="001101F3">
        <w:rPr>
          <w:rStyle w:val="Hyperlink"/>
        </w:rPr>
        <w:t>Agabayahya2011@gmail.com</w:t>
      </w:r>
      <w:r>
        <w:fldChar w:fldCharType="end"/>
      </w:r>
    </w:p>
    <w:p w14:paraId="0ED42315" w14:textId="02F357D7" w:rsidR="00727282" w:rsidRPr="00E62866" w:rsidRDefault="00727282" w:rsidP="00727282">
      <w:proofErr w:type="gramStart"/>
      <w:r>
        <w:t>Institution :</w:t>
      </w:r>
      <w:proofErr w:type="gramEnd"/>
      <w:r>
        <w:t xml:space="preserve"> </w:t>
      </w:r>
      <w:proofErr w:type="spellStart"/>
      <w:r>
        <w:t>AlSafwa</w:t>
      </w:r>
      <w:proofErr w:type="spellEnd"/>
      <w:r>
        <w:t xml:space="preserve"> Primary School-Rwanda</w:t>
      </w:r>
    </w:p>
    <w:p w14:paraId="52A3F880" w14:textId="77777777" w:rsidR="00E62866" w:rsidRDefault="00E62866" w:rsidP="00E62866"/>
    <w:p w14:paraId="7781152C" w14:textId="77777777" w:rsidR="00E62866" w:rsidRDefault="00E62866" w:rsidP="00E62866">
      <w:pPr>
        <w:pStyle w:val="Heading2"/>
        <w:spacing w:line="240" w:lineRule="auto"/>
        <w:rPr>
          <w:rFonts w:ascii="Times New Roman" w:hAnsi="Times New Roman" w:cs="Times New Roman"/>
          <w:i w:val="0"/>
          <w:sz w:val="24"/>
          <w:szCs w:val="24"/>
        </w:rPr>
      </w:pPr>
    </w:p>
    <w:p w14:paraId="4C7D7A5E" w14:textId="77777777" w:rsidR="00727282" w:rsidRDefault="00727282" w:rsidP="00727282"/>
    <w:p w14:paraId="04CC48E3" w14:textId="77777777" w:rsidR="00727282" w:rsidRDefault="00727282" w:rsidP="00727282"/>
    <w:p w14:paraId="2C14E3B0" w14:textId="77777777" w:rsidR="00727282" w:rsidRDefault="00727282" w:rsidP="00727282"/>
    <w:p w14:paraId="386FABC2" w14:textId="77777777" w:rsidR="00727282" w:rsidRDefault="00727282" w:rsidP="00727282"/>
    <w:p w14:paraId="2F1CFCA2" w14:textId="77777777" w:rsidR="00727282" w:rsidRDefault="00727282" w:rsidP="00727282"/>
    <w:p w14:paraId="06148D73" w14:textId="77777777" w:rsidR="00727282" w:rsidRDefault="00727282" w:rsidP="00727282"/>
    <w:p w14:paraId="5D8329E6" w14:textId="77777777" w:rsidR="00727282" w:rsidRDefault="00727282" w:rsidP="00727282"/>
    <w:p w14:paraId="0BEB5472" w14:textId="77777777" w:rsidR="00727282" w:rsidRDefault="00727282" w:rsidP="00727282"/>
    <w:p w14:paraId="5E133E81" w14:textId="77777777" w:rsidR="00727282" w:rsidRDefault="00727282" w:rsidP="00727282"/>
    <w:p w14:paraId="2351B155" w14:textId="77777777" w:rsidR="00727282" w:rsidRDefault="00727282" w:rsidP="00727282"/>
    <w:p w14:paraId="6664EC71" w14:textId="77777777" w:rsidR="00727282" w:rsidRDefault="00727282" w:rsidP="00727282"/>
    <w:p w14:paraId="100CD4E3" w14:textId="77777777" w:rsidR="00727282" w:rsidRPr="00727282" w:rsidRDefault="00727282" w:rsidP="00727282"/>
    <w:p w14:paraId="596B4E9D" w14:textId="15DEC086" w:rsidR="00727282" w:rsidRPr="00727282" w:rsidRDefault="00727282" w:rsidP="00727282">
      <w:pPr>
        <w:pStyle w:val="Heading2"/>
        <w:numPr>
          <w:ilvl w:val="0"/>
          <w:numId w:val="27"/>
        </w:numPr>
        <w:spacing w:line="240" w:lineRule="auto"/>
        <w:rPr>
          <w:rFonts w:ascii="Times New Roman" w:hAnsi="Times New Roman" w:cs="Times New Roman"/>
          <w:i w:val="0"/>
          <w:sz w:val="24"/>
          <w:szCs w:val="24"/>
        </w:rPr>
      </w:pPr>
      <w:r>
        <w:rPr>
          <w:rFonts w:ascii="Times New Roman" w:hAnsi="Times New Roman" w:cs="Times New Roman"/>
          <w:i w:val="0"/>
          <w:sz w:val="24"/>
          <w:szCs w:val="24"/>
        </w:rPr>
        <w:lastRenderedPageBreak/>
        <w:t xml:space="preserve">Introduction </w:t>
      </w:r>
    </w:p>
    <w:p w14:paraId="4301600E" w14:textId="0BEA76C1" w:rsidR="00727282" w:rsidRPr="00727282" w:rsidRDefault="00727282" w:rsidP="00727282">
      <w:pPr>
        <w:spacing w:line="240" w:lineRule="auto"/>
        <w:jc w:val="both"/>
      </w:pPr>
      <w:r w:rsidRPr="001A646E">
        <w:t>The overarching vision of the Government of Rwanda is to develop a stable and sound financial sector that is sufficiently deep and broad, capable of efficiently mobilizing and allocating resources to address the development needs of</w:t>
      </w:r>
      <w:r>
        <w:t xml:space="preserve"> the economy and reduce poverty</w:t>
      </w:r>
      <w:r>
        <w:rPr>
          <w:noProof/>
        </w:rPr>
        <w:t xml:space="preserve"> </w:t>
      </w:r>
      <w:r w:rsidRPr="00E50E72">
        <w:rPr>
          <w:noProof/>
        </w:rPr>
        <w:t>(Ministry of Finance and Economic Planning [MINECOFINE], 2015)</w:t>
      </w:r>
      <w:r w:rsidRPr="001A646E">
        <w:t xml:space="preserve">. </w:t>
      </w:r>
      <w:r>
        <w:t xml:space="preserve"> Compared to </w:t>
      </w:r>
      <w:r w:rsidRPr="00F44E66">
        <w:t>Bank of Kigali</w:t>
      </w:r>
      <w:r>
        <w:t>, i</w:t>
      </w:r>
      <w:r w:rsidRPr="00403195">
        <w:t>n 2013</w:t>
      </w:r>
      <w:r>
        <w:t xml:space="preserve"> </w:t>
      </w:r>
      <w:r w:rsidRPr="00403195">
        <w:t xml:space="preserve">the Bank </w:t>
      </w:r>
      <w:r>
        <w:t xml:space="preserve">of Kigali earned </w:t>
      </w:r>
      <w:r w:rsidRPr="00403195">
        <w:t>net</w:t>
      </w:r>
      <w:r>
        <w:t xml:space="preserve"> income of </w:t>
      </w:r>
      <w:proofErr w:type="spellStart"/>
      <w:r>
        <w:t>RwF</w:t>
      </w:r>
      <w:proofErr w:type="spellEnd"/>
      <w:r>
        <w:t xml:space="preserve"> 14.8 </w:t>
      </w:r>
      <w:proofErr w:type="spellStart"/>
      <w:r>
        <w:t>bn</w:t>
      </w:r>
      <w:proofErr w:type="spellEnd"/>
      <w:r>
        <w:t xml:space="preserve"> (USD</w:t>
      </w:r>
      <w:r w:rsidRPr="00403195">
        <w:t xml:space="preserve">22 </w:t>
      </w:r>
      <w:proofErr w:type="spellStart"/>
      <w:r w:rsidRPr="00403195">
        <w:t>mln</w:t>
      </w:r>
      <w:proofErr w:type="spellEnd"/>
      <w:r w:rsidRPr="00403195">
        <w:t>), a 26% increase</w:t>
      </w:r>
      <w:r>
        <w:t xml:space="preserve">, </w:t>
      </w:r>
      <w:r w:rsidRPr="00403195">
        <w:t xml:space="preserve">or </w:t>
      </w:r>
      <w:proofErr w:type="spellStart"/>
      <w:r w:rsidRPr="00403195">
        <w:t>RwF</w:t>
      </w:r>
      <w:proofErr w:type="spellEnd"/>
      <w:r w:rsidRPr="00403195">
        <w:t xml:space="preserve"> 22</w:t>
      </w:r>
      <w:r>
        <w:t xml:space="preserve">.2 per ordinary share. Bank of Kigali improved profitability </w:t>
      </w:r>
      <w:r w:rsidRPr="00403195">
        <w:t>metrics, achieving in 2013 ROAA and ROAE of 4.0% and 22.1%,</w:t>
      </w:r>
      <w:r>
        <w:t xml:space="preserve"> Bank of Kigali</w:t>
      </w:r>
      <w:r w:rsidRPr="00F44E66">
        <w:t xml:space="preserve"> </w:t>
      </w:r>
      <w:r>
        <w:t xml:space="preserve">also </w:t>
      </w:r>
      <w:r w:rsidRPr="00F44E66">
        <w:t xml:space="preserve">closed the year 2014 on a high note, with Net Income of </w:t>
      </w:r>
      <w:proofErr w:type="spellStart"/>
      <w:r w:rsidRPr="00F44E66">
        <w:t>FRw</w:t>
      </w:r>
      <w:proofErr w:type="spellEnd"/>
      <w:r w:rsidRPr="00F44E66">
        <w:t xml:space="preserve"> 18.3 billion, a 23.5% incre</w:t>
      </w:r>
      <w:r>
        <w:t xml:space="preserve">ase from the previous year. </w:t>
      </w:r>
      <w:r w:rsidRPr="00F44E66">
        <w:t xml:space="preserve"> </w:t>
      </w:r>
      <w:r>
        <w:t xml:space="preserve">BK </w:t>
      </w:r>
      <w:r w:rsidRPr="00F44E66">
        <w:t xml:space="preserve">profitability remained intact, with ROAA and ROAE of 4.0% and 22.9%, </w:t>
      </w:r>
      <w:r>
        <w:t>respectively</w:t>
      </w:r>
      <w:r>
        <w:rPr>
          <w:noProof/>
        </w:rPr>
        <w:t xml:space="preserve"> </w:t>
      </w:r>
      <w:r w:rsidRPr="00A11189">
        <w:rPr>
          <w:noProof/>
        </w:rPr>
        <w:t>(Bank of KIgali [BK], 2014)</w:t>
      </w:r>
      <w:r w:rsidRPr="00F44E66">
        <w:t>.</w:t>
      </w:r>
      <w:r>
        <w:t xml:space="preserve"> The above of background is confirmed by the consistence development of BK due to its profit from 18.3 to 20.5 in 2015. Hence, from the above background, the researcher carried out a study by analyzing how economic factors contribute to the profitability of commercial in Rwanda.</w:t>
      </w:r>
    </w:p>
    <w:p w14:paraId="509541F3" w14:textId="5EE439EB" w:rsidR="00DF1971" w:rsidRPr="002F2BA0" w:rsidRDefault="00727282" w:rsidP="00E62866">
      <w:pPr>
        <w:pStyle w:val="Heading2"/>
        <w:spacing w:line="240" w:lineRule="auto"/>
        <w:rPr>
          <w:rFonts w:ascii="Times New Roman" w:hAnsi="Times New Roman" w:cs="Times New Roman"/>
          <w:i w:val="0"/>
          <w:sz w:val="24"/>
          <w:szCs w:val="24"/>
        </w:rPr>
      </w:pPr>
      <w:r>
        <w:rPr>
          <w:rFonts w:ascii="Times New Roman" w:hAnsi="Times New Roman" w:cs="Times New Roman"/>
          <w:i w:val="0"/>
          <w:sz w:val="24"/>
          <w:szCs w:val="24"/>
        </w:rPr>
        <w:t>1.1</w:t>
      </w:r>
      <w:r w:rsidR="00DF1971" w:rsidRPr="002F2BA0">
        <w:rPr>
          <w:rFonts w:ascii="Times New Roman" w:hAnsi="Times New Roman" w:cs="Times New Roman"/>
          <w:i w:val="0"/>
          <w:sz w:val="24"/>
          <w:szCs w:val="24"/>
        </w:rPr>
        <w:t xml:space="preserve"> Problem Statement</w:t>
      </w:r>
      <w:bookmarkEnd w:id="2"/>
      <w:bookmarkEnd w:id="3"/>
      <w:r w:rsidR="00DF1971" w:rsidRPr="002F2BA0">
        <w:rPr>
          <w:rFonts w:ascii="Times New Roman" w:hAnsi="Times New Roman" w:cs="Times New Roman"/>
          <w:i w:val="0"/>
          <w:sz w:val="24"/>
          <w:szCs w:val="24"/>
        </w:rPr>
        <w:t xml:space="preserve"> </w:t>
      </w:r>
    </w:p>
    <w:p w14:paraId="2C86453C" w14:textId="38A82327" w:rsidR="0003284E" w:rsidRDefault="002F2BA0" w:rsidP="00E62866">
      <w:pPr>
        <w:spacing w:line="240" w:lineRule="auto"/>
        <w:jc w:val="both"/>
        <w:rPr>
          <w:noProof/>
        </w:rPr>
      </w:pPr>
      <w:r>
        <w:t xml:space="preserve">The study of </w:t>
      </w:r>
      <w:r>
        <w:rPr>
          <w:noProof/>
        </w:rPr>
        <w:t>Manuel (</w:t>
      </w:r>
      <w:r w:rsidRPr="002F2BA0">
        <w:rPr>
          <w:noProof/>
        </w:rPr>
        <w:t>2014)</w:t>
      </w:r>
      <w:r>
        <w:rPr>
          <w:noProof/>
        </w:rPr>
        <w:t xml:space="preserve"> indicated that </w:t>
      </w:r>
      <w:r>
        <w:t>b</w:t>
      </w:r>
      <w:r w:rsidRPr="002F2BA0">
        <w:t xml:space="preserve">ank </w:t>
      </w:r>
      <w:r>
        <w:t>f</w:t>
      </w:r>
      <w:r w:rsidRPr="002F2BA0">
        <w:t xml:space="preserve">ailure </w:t>
      </w:r>
      <w:r>
        <w:t>is a problem in many countries, he found that worldwide t</w:t>
      </w:r>
      <w:r w:rsidRPr="002F2BA0">
        <w:t>he years, 2007-2013, marked a new wave of</w:t>
      </w:r>
      <w:r>
        <w:t xml:space="preserve"> bank failure</w:t>
      </w:r>
      <w:r w:rsidRPr="002F2BA0">
        <w:t xml:space="preserve">, </w:t>
      </w:r>
      <w:r>
        <w:t xml:space="preserve">this period was </w:t>
      </w:r>
      <w:r w:rsidRPr="002F2BA0">
        <w:t>characterized by high</w:t>
      </w:r>
      <w:r>
        <w:t xml:space="preserve"> </w:t>
      </w:r>
      <w:r w:rsidRPr="002F2BA0">
        <w:t>unpredictability and serious consequences</w:t>
      </w:r>
      <w:r w:rsidR="00A74E6E">
        <w:t xml:space="preserve"> due to lack of the effective of analysis of economic factors</w:t>
      </w:r>
      <w:r w:rsidRPr="002F2BA0">
        <w:t>.</w:t>
      </w:r>
      <w:r w:rsidR="00A74E6E">
        <w:t xml:space="preserve"> While the study of </w:t>
      </w:r>
      <w:r w:rsidR="00C83E6A">
        <w:rPr>
          <w:noProof/>
        </w:rPr>
        <w:t>Onuonga (</w:t>
      </w:r>
      <w:r w:rsidR="00C83E6A" w:rsidRPr="005F1B4C">
        <w:rPr>
          <w:noProof/>
        </w:rPr>
        <w:t>2014)</w:t>
      </w:r>
      <w:r w:rsidR="00C83E6A">
        <w:rPr>
          <w:noProof/>
        </w:rPr>
        <w:t xml:space="preserve"> </w:t>
      </w:r>
      <w:r w:rsidR="00C83E6A" w:rsidRPr="00EF52A6">
        <w:rPr>
          <w:noProof/>
        </w:rPr>
        <w:t>revealed that bank size, capital strength, ownership, operations expenses, diversification do significantly influen</w:t>
      </w:r>
      <w:r w:rsidR="00A74E6E">
        <w:rPr>
          <w:noProof/>
        </w:rPr>
        <w:t xml:space="preserve">ce profitability of </w:t>
      </w:r>
      <w:r w:rsidR="00C83E6A" w:rsidRPr="00EF52A6">
        <w:rPr>
          <w:noProof/>
        </w:rPr>
        <w:t xml:space="preserve">commercial banks. </w:t>
      </w:r>
      <w:r w:rsidR="00317D5F">
        <w:rPr>
          <w:noProof/>
        </w:rPr>
        <w:t xml:space="preserve"> </w:t>
      </w:r>
      <w:r w:rsidR="00AA7259">
        <w:rPr>
          <w:noProof/>
        </w:rPr>
        <w:t xml:space="preserve">The study of </w:t>
      </w:r>
      <w:r w:rsidR="00317D5F" w:rsidRPr="00F848DF">
        <w:rPr>
          <w:noProof/>
        </w:rPr>
        <w:t>Ayanda et al. (2013)</w:t>
      </w:r>
      <w:r w:rsidR="00AA7259">
        <w:rPr>
          <w:noProof/>
        </w:rPr>
        <w:t xml:space="preserve"> also indicated that</w:t>
      </w:r>
      <w:r w:rsidR="00317D5F" w:rsidRPr="00F848DF">
        <w:rPr>
          <w:noProof/>
        </w:rPr>
        <w:t xml:space="preserve"> only broad money supply </w:t>
      </w:r>
      <w:r w:rsidR="00317D5F">
        <w:rPr>
          <w:noProof/>
        </w:rPr>
        <w:t xml:space="preserve">growth rate was found to be a </w:t>
      </w:r>
      <w:r w:rsidR="00317D5F" w:rsidRPr="00F848DF">
        <w:rPr>
          <w:noProof/>
        </w:rPr>
        <w:t xml:space="preserve">significant driver both in the long </w:t>
      </w:r>
      <w:r w:rsidR="00F63A3E">
        <w:rPr>
          <w:noProof/>
        </w:rPr>
        <w:t>run and in</w:t>
      </w:r>
      <w:r w:rsidR="00317D5F" w:rsidRPr="00F848DF">
        <w:rPr>
          <w:noProof/>
        </w:rPr>
        <w:t xml:space="preserve"> short run.</w:t>
      </w:r>
      <w:r w:rsidR="00960463">
        <w:rPr>
          <w:noProof/>
        </w:rPr>
        <w:t xml:space="preserve"> </w:t>
      </w:r>
      <w:r w:rsidR="00AA7259">
        <w:rPr>
          <w:noProof/>
        </w:rPr>
        <w:t xml:space="preserve">Conflictingly, </w:t>
      </w:r>
      <w:r w:rsidR="00960463">
        <w:rPr>
          <w:noProof/>
        </w:rPr>
        <w:t xml:space="preserve">Kiganda (2014) found that macroeconomic factors </w:t>
      </w:r>
      <w:r w:rsidR="00960463" w:rsidRPr="00F848DF">
        <w:rPr>
          <w:noProof/>
        </w:rPr>
        <w:t>(real GDP, inflation and exchange rate) do n</w:t>
      </w:r>
      <w:r w:rsidR="00960463">
        <w:rPr>
          <w:noProof/>
        </w:rPr>
        <w:t>ot affect bank profitability, i</w:t>
      </w:r>
      <w:r w:rsidR="00960463" w:rsidRPr="00F848DF">
        <w:rPr>
          <w:noProof/>
        </w:rPr>
        <w:t xml:space="preserve">mplying that internal factors </w:t>
      </w:r>
      <w:r w:rsidR="00960463">
        <w:rPr>
          <w:noProof/>
        </w:rPr>
        <w:t xml:space="preserve">which relate to bank management </w:t>
      </w:r>
      <w:r w:rsidR="00960463" w:rsidRPr="00F848DF">
        <w:rPr>
          <w:noProof/>
        </w:rPr>
        <w:t>significantly deter</w:t>
      </w:r>
      <w:r w:rsidR="00960463">
        <w:rPr>
          <w:noProof/>
        </w:rPr>
        <w:t>mine bank profitability</w:t>
      </w:r>
      <w:r w:rsidR="00960463" w:rsidRPr="00F848DF">
        <w:rPr>
          <w:noProof/>
        </w:rPr>
        <w:t xml:space="preserve">. </w:t>
      </w:r>
      <w:r w:rsidR="00AA7259">
        <w:rPr>
          <w:noProof/>
        </w:rPr>
        <w:t>Moreover, from the above disagreement</w:t>
      </w:r>
      <w:r w:rsidR="00F63A3E">
        <w:rPr>
          <w:noProof/>
        </w:rPr>
        <w:t>s</w:t>
      </w:r>
      <w:r w:rsidR="00AA7259">
        <w:rPr>
          <w:noProof/>
        </w:rPr>
        <w:t xml:space="preserve"> with different scholars, </w:t>
      </w:r>
      <w:r w:rsidR="00F63A3E">
        <w:rPr>
          <w:noProof/>
        </w:rPr>
        <w:t xml:space="preserve">the researcher became in unbalanced academic position neither concluded that economic factors affect profitability of commercial banks or not. The above problem also supported by National Bank of Rwanda [BNR] annual report </w:t>
      </w:r>
      <w:r w:rsidR="00F63A3E" w:rsidRPr="005E265D">
        <w:rPr>
          <w:noProof/>
        </w:rPr>
        <w:t xml:space="preserve"> </w:t>
      </w:r>
      <w:r w:rsidR="00F63A3E">
        <w:rPr>
          <w:noProof/>
        </w:rPr>
        <w:t>(2014</w:t>
      </w:r>
      <w:r w:rsidR="00F63A3E" w:rsidRPr="005E265D">
        <w:rPr>
          <w:noProof/>
        </w:rPr>
        <w:t>)</w:t>
      </w:r>
      <w:r w:rsidR="00F63A3E">
        <w:t xml:space="preserve">, where </w:t>
      </w:r>
      <w:r w:rsidR="00AA7259">
        <w:t xml:space="preserve"> </w:t>
      </w:r>
      <w:r w:rsidR="00F63A3E">
        <w:rPr>
          <w:bCs/>
        </w:rPr>
        <w:t>Lerner i</w:t>
      </w:r>
      <w:r w:rsidR="00AA7259" w:rsidRPr="00D544D1">
        <w:rPr>
          <w:bCs/>
        </w:rPr>
        <w:t xml:space="preserve">ndex (average) was 0.48 in 2006, 0.42 in 2007, 0.45 in 2009, 0.38 in 2011, 0.32 in </w:t>
      </w:r>
      <w:r w:rsidR="00F63A3E">
        <w:rPr>
          <w:bCs/>
        </w:rPr>
        <w:t>2012 and 0.29 in 2013.  I</w:t>
      </w:r>
      <w:r w:rsidR="00AA7259" w:rsidRPr="00D544D1">
        <w:rPr>
          <w:bCs/>
        </w:rPr>
        <w:t xml:space="preserve">n relation to </w:t>
      </w:r>
      <w:r w:rsidR="00AA7259" w:rsidRPr="00D544D1">
        <w:t>Lerner index theory,</w:t>
      </w:r>
      <w:r w:rsidR="00AA7259">
        <w:t xml:space="preserve"> the</w:t>
      </w:r>
      <w:r w:rsidR="00AA7259" w:rsidRPr="00F10B93">
        <w:t xml:space="preserve"> result clear</w:t>
      </w:r>
      <w:r w:rsidR="00AA7259">
        <w:t xml:space="preserve">ly indicates a good progress in </w:t>
      </w:r>
      <w:r w:rsidR="00AA7259" w:rsidRPr="00F10B93">
        <w:t>banking sector competition Rwanda since 2008</w:t>
      </w:r>
      <w:r w:rsidR="00AA7259">
        <w:t xml:space="preserve">, unfortunately the level of performance of commercial banks are significantly different. </w:t>
      </w:r>
      <w:r w:rsidR="00AA7259">
        <w:rPr>
          <w:rStyle w:val="A21"/>
          <w:sz w:val="24"/>
          <w:szCs w:val="24"/>
        </w:rPr>
        <w:t xml:space="preserve"> </w:t>
      </w:r>
      <w:r w:rsidR="00AA7259">
        <w:t xml:space="preserve">Hence, </w:t>
      </w:r>
      <w:r w:rsidR="00F63A3E">
        <w:t>i</w:t>
      </w:r>
      <w:r w:rsidR="00FE3A23">
        <w:t xml:space="preserve">n </w:t>
      </w:r>
      <w:r w:rsidR="000D4E0E">
        <w:t>Rwanda</w:t>
      </w:r>
      <w:r w:rsidR="00FE3A23">
        <w:t xml:space="preserve"> commercial banks sector</w:t>
      </w:r>
      <w:r w:rsidRPr="002F2BA0">
        <w:t>, consid</w:t>
      </w:r>
      <w:r w:rsidR="000D4E0E">
        <w:t xml:space="preserve">erable research effort has been </w:t>
      </w:r>
      <w:r w:rsidRPr="002F2BA0">
        <w:t>devoted to and much d</w:t>
      </w:r>
      <w:r w:rsidR="000D4E0E">
        <w:t xml:space="preserve">ebate has been evoked about the </w:t>
      </w:r>
      <w:r w:rsidRPr="002F2BA0">
        <w:t>cause of bank failure. Th</w:t>
      </w:r>
      <w:r w:rsidR="000D4E0E">
        <w:t xml:space="preserve">ese have generated considerable </w:t>
      </w:r>
      <w:r w:rsidRPr="002F2BA0">
        <w:t>insight into and un</w:t>
      </w:r>
      <w:r w:rsidR="000D4E0E">
        <w:t xml:space="preserve">derstanding of the bank failure </w:t>
      </w:r>
      <w:r w:rsidRPr="002F2BA0">
        <w:t xml:space="preserve">problem. However, the </w:t>
      </w:r>
      <w:r w:rsidR="000D4E0E">
        <w:t xml:space="preserve">problem still remains large and </w:t>
      </w:r>
      <w:r w:rsidRPr="002F2BA0">
        <w:t>keeps recurring, suggest</w:t>
      </w:r>
      <w:r w:rsidR="000D4E0E">
        <w:t xml:space="preserve">ing the need for more </w:t>
      </w:r>
      <w:r w:rsidRPr="002F2BA0">
        <w:t>examination of the problem.</w:t>
      </w:r>
      <w:r w:rsidR="00406F50">
        <w:t xml:space="preserve">  This paper</w:t>
      </w:r>
      <w:r w:rsidR="000D4E0E">
        <w:t xml:space="preserve"> examine</w:t>
      </w:r>
      <w:r w:rsidR="00406F50">
        <w:t>d</w:t>
      </w:r>
      <w:r w:rsidR="000D4E0E">
        <w:t xml:space="preserve"> </w:t>
      </w:r>
      <w:r w:rsidR="00406F50">
        <w:t>this problem</w:t>
      </w:r>
      <w:r w:rsidR="000D4E0E" w:rsidRPr="000D4E0E">
        <w:t xml:space="preserve"> with part</w:t>
      </w:r>
      <w:r w:rsidR="000D4E0E">
        <w:t xml:space="preserve">icular reference to how both internal and external factors </w:t>
      </w:r>
      <w:r w:rsidR="000D4E0E" w:rsidRPr="000D4E0E">
        <w:t>influencing bank profitability</w:t>
      </w:r>
      <w:r w:rsidR="000D4E0E">
        <w:t xml:space="preserve"> in Rwanda.</w:t>
      </w:r>
    </w:p>
    <w:p w14:paraId="57E3310C" w14:textId="250BEF25" w:rsidR="0003284E" w:rsidRPr="0003284E" w:rsidRDefault="00727282" w:rsidP="00E62866">
      <w:pPr>
        <w:pStyle w:val="Heading2"/>
        <w:spacing w:line="240" w:lineRule="auto"/>
        <w:rPr>
          <w:rFonts w:ascii="Times New Roman" w:hAnsi="Times New Roman" w:cs="Times New Roman"/>
          <w:i w:val="0"/>
          <w:sz w:val="24"/>
          <w:szCs w:val="24"/>
        </w:rPr>
      </w:pPr>
      <w:bookmarkStart w:id="5" w:name="_Toc412356954"/>
      <w:bookmarkStart w:id="6" w:name="_Toc414238807"/>
      <w:bookmarkStart w:id="7" w:name="_Toc451249247"/>
      <w:bookmarkStart w:id="8" w:name="_Toc452487289"/>
      <w:r>
        <w:rPr>
          <w:rFonts w:ascii="Times New Roman" w:hAnsi="Times New Roman" w:cs="Times New Roman"/>
          <w:i w:val="0"/>
          <w:sz w:val="24"/>
          <w:szCs w:val="24"/>
        </w:rPr>
        <w:t>1.2</w:t>
      </w:r>
      <w:r w:rsidR="0003284E" w:rsidRPr="0003284E">
        <w:rPr>
          <w:rFonts w:ascii="Times New Roman" w:hAnsi="Times New Roman" w:cs="Times New Roman"/>
          <w:i w:val="0"/>
          <w:sz w:val="24"/>
          <w:szCs w:val="24"/>
        </w:rPr>
        <w:t>. Objectives of the study</w:t>
      </w:r>
      <w:bookmarkEnd w:id="5"/>
      <w:bookmarkEnd w:id="6"/>
      <w:bookmarkEnd w:id="7"/>
      <w:bookmarkEnd w:id="8"/>
    </w:p>
    <w:p w14:paraId="41DD8E79" w14:textId="77777777" w:rsidR="0003284E" w:rsidRPr="00D25491" w:rsidRDefault="0003284E" w:rsidP="00E62866">
      <w:pPr>
        <w:spacing w:line="240" w:lineRule="auto"/>
      </w:pPr>
      <w:r w:rsidRPr="00D25491">
        <w:t>This study presents the general objective and three specific objectives of the study</w:t>
      </w:r>
      <w:r>
        <w:t xml:space="preserve"> related to the problem and topic under study</w:t>
      </w:r>
      <w:r w:rsidRPr="00D25491">
        <w:t>.</w:t>
      </w:r>
      <w:bookmarkStart w:id="9" w:name="_Toc414238808"/>
    </w:p>
    <w:p w14:paraId="6BAF8E1F" w14:textId="5E1DE74C" w:rsidR="0003284E" w:rsidRPr="00A27C4F" w:rsidRDefault="00727282" w:rsidP="00E62866">
      <w:pPr>
        <w:pStyle w:val="Heading2"/>
        <w:spacing w:line="240" w:lineRule="auto"/>
        <w:rPr>
          <w:rFonts w:ascii="Times New Roman" w:hAnsi="Times New Roman" w:cs="Times New Roman"/>
          <w:i w:val="0"/>
          <w:sz w:val="24"/>
          <w:szCs w:val="24"/>
        </w:rPr>
      </w:pPr>
      <w:bookmarkStart w:id="10" w:name="_Toc451249248"/>
      <w:bookmarkStart w:id="11" w:name="_Toc452487290"/>
      <w:r>
        <w:rPr>
          <w:rFonts w:ascii="Times New Roman" w:hAnsi="Times New Roman" w:cs="Times New Roman"/>
          <w:i w:val="0"/>
          <w:sz w:val="24"/>
          <w:szCs w:val="24"/>
        </w:rPr>
        <w:t>1.2</w:t>
      </w:r>
      <w:r w:rsidR="0003284E" w:rsidRPr="00A27C4F">
        <w:rPr>
          <w:rFonts w:ascii="Times New Roman" w:hAnsi="Times New Roman" w:cs="Times New Roman"/>
          <w:i w:val="0"/>
          <w:sz w:val="24"/>
          <w:szCs w:val="24"/>
        </w:rPr>
        <w:t>.1 General objective</w:t>
      </w:r>
      <w:bookmarkEnd w:id="9"/>
      <w:bookmarkEnd w:id="10"/>
      <w:bookmarkEnd w:id="11"/>
    </w:p>
    <w:p w14:paraId="48EC371E" w14:textId="1FBA374B" w:rsidR="0003284E" w:rsidRPr="009A68DA" w:rsidRDefault="0003284E" w:rsidP="00E62866">
      <w:pPr>
        <w:spacing w:line="240" w:lineRule="auto"/>
        <w:jc w:val="both"/>
      </w:pPr>
      <w:r w:rsidRPr="00D25491">
        <w:t>The ge</w:t>
      </w:r>
      <w:r>
        <w:t>neral objective of this study was to analyze the effect</w:t>
      </w:r>
      <w:r w:rsidRPr="00D25491">
        <w:t xml:space="preserve"> of </w:t>
      </w:r>
      <w:r w:rsidR="000649CF">
        <w:t>economic factors</w:t>
      </w:r>
      <w:r w:rsidR="009A68DA">
        <w:t xml:space="preserve"> on</w:t>
      </w:r>
      <w:r>
        <w:t xml:space="preserve"> </w:t>
      </w:r>
      <w:r w:rsidRPr="00E66773">
        <w:t xml:space="preserve">profitability of commercial banks in </w:t>
      </w:r>
      <w:r>
        <w:t>Rwanda.</w:t>
      </w:r>
    </w:p>
    <w:p w14:paraId="290B5D7B" w14:textId="137605BD" w:rsidR="0003284E" w:rsidRPr="00A27C4F" w:rsidRDefault="00EF6959" w:rsidP="00E62866">
      <w:pPr>
        <w:pStyle w:val="Heading2"/>
        <w:spacing w:line="240" w:lineRule="auto"/>
        <w:rPr>
          <w:rFonts w:ascii="Times New Roman" w:hAnsi="Times New Roman" w:cs="Times New Roman"/>
          <w:i w:val="0"/>
          <w:sz w:val="24"/>
          <w:szCs w:val="24"/>
        </w:rPr>
      </w:pPr>
      <w:bookmarkStart w:id="12" w:name="_Toc451249249"/>
      <w:bookmarkStart w:id="13" w:name="_Toc452487291"/>
      <w:r>
        <w:rPr>
          <w:rFonts w:ascii="Times New Roman" w:hAnsi="Times New Roman" w:cs="Times New Roman"/>
          <w:i w:val="0"/>
          <w:sz w:val="24"/>
          <w:szCs w:val="24"/>
        </w:rPr>
        <w:lastRenderedPageBreak/>
        <w:t>1.2</w:t>
      </w:r>
      <w:r w:rsidR="0003284E" w:rsidRPr="00A27C4F">
        <w:rPr>
          <w:rFonts w:ascii="Times New Roman" w:hAnsi="Times New Roman" w:cs="Times New Roman"/>
          <w:i w:val="0"/>
          <w:sz w:val="24"/>
          <w:szCs w:val="24"/>
        </w:rPr>
        <w:t>.2. Specific objectives</w:t>
      </w:r>
      <w:bookmarkEnd w:id="12"/>
      <w:bookmarkEnd w:id="13"/>
    </w:p>
    <w:p w14:paraId="17509B0F" w14:textId="292F0452" w:rsidR="0003284E" w:rsidRPr="00A41B35" w:rsidRDefault="00E04C29" w:rsidP="00E62866">
      <w:pPr>
        <w:pStyle w:val="ListParagraph"/>
        <w:numPr>
          <w:ilvl w:val="0"/>
          <w:numId w:val="9"/>
        </w:numPr>
        <w:spacing w:line="240" w:lineRule="auto"/>
        <w:rPr>
          <w:bCs/>
        </w:rPr>
      </w:pPr>
      <w:bookmarkStart w:id="14" w:name="_Toc412356955"/>
      <w:bookmarkStart w:id="15" w:name="_Toc414238809"/>
      <w:r>
        <w:t>To determine the influence</w:t>
      </w:r>
      <w:r w:rsidR="0003284E" w:rsidRPr="00D25491">
        <w:t xml:space="preserve"> of</w:t>
      </w:r>
      <w:r w:rsidR="00A27C4F">
        <w:t xml:space="preserve"> commercial bank</w:t>
      </w:r>
      <w:r w:rsidR="0003284E" w:rsidRPr="00D25491">
        <w:t xml:space="preserve"> </w:t>
      </w:r>
      <w:r w:rsidR="00A27C4F" w:rsidRPr="00A27C4F">
        <w:rPr>
          <w:rStyle w:val="Strong"/>
          <w:b w:val="0"/>
        </w:rPr>
        <w:t>external factors</w:t>
      </w:r>
      <w:r>
        <w:t xml:space="preserve"> on</w:t>
      </w:r>
      <w:r w:rsidR="00A27C4F">
        <w:t xml:space="preserve"> the profitability of bank of Kigali</w:t>
      </w:r>
      <w:r w:rsidR="0003284E" w:rsidRPr="00D25491">
        <w:t>;</w:t>
      </w:r>
    </w:p>
    <w:p w14:paraId="10FFF561" w14:textId="0E32F3DB" w:rsidR="00A41B35" w:rsidRPr="00A41B35" w:rsidRDefault="00E04C29" w:rsidP="00E62866">
      <w:pPr>
        <w:pStyle w:val="ListParagraph"/>
        <w:numPr>
          <w:ilvl w:val="0"/>
          <w:numId w:val="9"/>
        </w:numPr>
        <w:spacing w:line="240" w:lineRule="auto"/>
        <w:rPr>
          <w:bCs/>
        </w:rPr>
      </w:pPr>
      <w:r>
        <w:t>To analyze the influence</w:t>
      </w:r>
      <w:r w:rsidR="00A41B35">
        <w:t xml:space="preserve"> of commercial bank internal factors on the </w:t>
      </w:r>
      <w:r w:rsidR="00A41B35" w:rsidRPr="00D25491">
        <w:t xml:space="preserve"> </w:t>
      </w:r>
      <w:r w:rsidR="00A41B35" w:rsidRPr="00E66773">
        <w:t xml:space="preserve">profitability of </w:t>
      </w:r>
      <w:r w:rsidR="00A41B35">
        <w:t>bank of Kigali</w:t>
      </w:r>
      <w:r w:rsidR="00A41B35" w:rsidRPr="00D25491">
        <w:t>;</w:t>
      </w:r>
    </w:p>
    <w:p w14:paraId="0A5940A8" w14:textId="4E9A7179" w:rsidR="0003284E" w:rsidRPr="00D25491" w:rsidRDefault="00A27C4F" w:rsidP="00E62866">
      <w:pPr>
        <w:pStyle w:val="ListParagraph"/>
        <w:numPr>
          <w:ilvl w:val="0"/>
          <w:numId w:val="9"/>
        </w:numPr>
        <w:spacing w:line="240" w:lineRule="auto"/>
        <w:rPr>
          <w:bCs/>
        </w:rPr>
      </w:pPr>
      <w:r>
        <w:t xml:space="preserve"> To establish relationship bet</w:t>
      </w:r>
      <w:r w:rsidR="00E04C29">
        <w:t>ween economic factors</w:t>
      </w:r>
      <w:r>
        <w:t xml:space="preserve"> and profitability of bank of Kigali</w:t>
      </w:r>
      <w:r w:rsidR="0003284E" w:rsidRPr="00D25491">
        <w:t>;</w:t>
      </w:r>
    </w:p>
    <w:p w14:paraId="59BB40D0" w14:textId="37DB817C" w:rsidR="0003284E" w:rsidRPr="00A27C4F" w:rsidRDefault="00EF6959" w:rsidP="00E62866">
      <w:pPr>
        <w:pStyle w:val="Heading2"/>
        <w:spacing w:line="240" w:lineRule="auto"/>
        <w:rPr>
          <w:rFonts w:ascii="Times New Roman" w:hAnsi="Times New Roman" w:cs="Times New Roman"/>
          <w:sz w:val="24"/>
          <w:szCs w:val="24"/>
        </w:rPr>
      </w:pPr>
      <w:bookmarkStart w:id="16" w:name="_Toc451249250"/>
      <w:bookmarkStart w:id="17" w:name="_Toc452487292"/>
      <w:r>
        <w:rPr>
          <w:rFonts w:ascii="Times New Roman" w:hAnsi="Times New Roman" w:cs="Times New Roman"/>
          <w:i w:val="0"/>
          <w:sz w:val="24"/>
          <w:szCs w:val="24"/>
        </w:rPr>
        <w:t>1.3</w:t>
      </w:r>
      <w:r w:rsidR="0003284E" w:rsidRPr="00A27C4F">
        <w:rPr>
          <w:rFonts w:ascii="Times New Roman" w:hAnsi="Times New Roman" w:cs="Times New Roman"/>
          <w:sz w:val="24"/>
          <w:szCs w:val="24"/>
        </w:rPr>
        <w:t xml:space="preserve">. </w:t>
      </w:r>
      <w:r w:rsidR="0003284E" w:rsidRPr="00A27C4F">
        <w:rPr>
          <w:rStyle w:val="Heading2Char"/>
          <w:rFonts w:ascii="Times New Roman" w:hAnsi="Times New Roman" w:cs="Times New Roman"/>
          <w:b/>
          <w:sz w:val="24"/>
          <w:szCs w:val="24"/>
        </w:rPr>
        <w:t>Research Questions</w:t>
      </w:r>
      <w:bookmarkEnd w:id="14"/>
      <w:bookmarkEnd w:id="15"/>
      <w:bookmarkEnd w:id="16"/>
      <w:bookmarkEnd w:id="17"/>
    </w:p>
    <w:p w14:paraId="405E4B9A" w14:textId="1B444170" w:rsidR="00A27C4F" w:rsidRPr="00A41B35" w:rsidRDefault="00A27C4F" w:rsidP="00E62866">
      <w:pPr>
        <w:pStyle w:val="ListParagraph"/>
        <w:numPr>
          <w:ilvl w:val="0"/>
          <w:numId w:val="11"/>
        </w:numPr>
        <w:spacing w:line="240" w:lineRule="auto"/>
        <w:rPr>
          <w:bCs/>
        </w:rPr>
      </w:pPr>
      <w:r>
        <w:t>Is there any</w:t>
      </w:r>
      <w:r w:rsidR="00E04C29">
        <w:t xml:space="preserve"> influence</w:t>
      </w:r>
      <w:r w:rsidRPr="00D25491">
        <w:t xml:space="preserve"> of</w:t>
      </w:r>
      <w:r>
        <w:t xml:space="preserve"> commercial bank</w:t>
      </w:r>
      <w:r w:rsidRPr="00D25491">
        <w:t xml:space="preserve"> </w:t>
      </w:r>
      <w:r w:rsidRPr="00A27C4F">
        <w:rPr>
          <w:rStyle w:val="Strong"/>
          <w:b w:val="0"/>
        </w:rPr>
        <w:t>external factors</w:t>
      </w:r>
      <w:r w:rsidRPr="00D25491">
        <w:t xml:space="preserve"> on </w:t>
      </w:r>
      <w:r w:rsidRPr="00E66773">
        <w:t xml:space="preserve">of </w:t>
      </w:r>
      <w:r>
        <w:t>the profitability of bank of Kigali?</w:t>
      </w:r>
    </w:p>
    <w:p w14:paraId="02E11198" w14:textId="2876D262" w:rsidR="00A41B35" w:rsidRPr="00A41B35" w:rsidRDefault="00E04C29" w:rsidP="00E62866">
      <w:pPr>
        <w:pStyle w:val="ListParagraph"/>
        <w:numPr>
          <w:ilvl w:val="0"/>
          <w:numId w:val="11"/>
        </w:numPr>
        <w:spacing w:line="240" w:lineRule="auto"/>
        <w:rPr>
          <w:bCs/>
        </w:rPr>
      </w:pPr>
      <w:r>
        <w:t>Is there any influence</w:t>
      </w:r>
      <w:r w:rsidR="00A41B35">
        <w:t xml:space="preserve"> of commercial bank internal factors on the</w:t>
      </w:r>
      <w:r w:rsidR="00A41B35" w:rsidRPr="00D25491">
        <w:t xml:space="preserve"> </w:t>
      </w:r>
      <w:r w:rsidR="00A41B35" w:rsidRPr="00E66773">
        <w:t xml:space="preserve">profitability of </w:t>
      </w:r>
      <w:r w:rsidR="00A41B35">
        <w:t>bank of Kigali?</w:t>
      </w:r>
    </w:p>
    <w:p w14:paraId="56EDF4FF" w14:textId="77FA7B5C" w:rsidR="00727282" w:rsidRPr="00EF6959" w:rsidRDefault="00A27C4F" w:rsidP="00EF6959">
      <w:pPr>
        <w:pStyle w:val="ListParagraph"/>
        <w:numPr>
          <w:ilvl w:val="0"/>
          <w:numId w:val="11"/>
        </w:numPr>
        <w:spacing w:line="240" w:lineRule="auto"/>
        <w:rPr>
          <w:bCs/>
        </w:rPr>
      </w:pPr>
      <w:r>
        <w:t xml:space="preserve"> Is there any relationship between economic factors prediction and profitability of bank of Kigali?</w:t>
      </w:r>
    </w:p>
    <w:p w14:paraId="7523A889" w14:textId="51E1F2DF" w:rsidR="00727282" w:rsidRPr="00727282" w:rsidRDefault="00727282" w:rsidP="00727282">
      <w:pPr>
        <w:pStyle w:val="Heading2"/>
        <w:spacing w:line="240" w:lineRule="auto"/>
        <w:rPr>
          <w:rFonts w:ascii="Times New Roman" w:hAnsi="Times New Roman"/>
          <w:i w:val="0"/>
          <w:sz w:val="24"/>
          <w:szCs w:val="24"/>
        </w:rPr>
      </w:pPr>
      <w:bookmarkStart w:id="18" w:name="_Toc451177951"/>
      <w:bookmarkStart w:id="19" w:name="_Toc452487320"/>
      <w:r>
        <w:rPr>
          <w:rFonts w:ascii="Times New Roman" w:hAnsi="Times New Roman"/>
          <w:i w:val="0"/>
          <w:sz w:val="24"/>
          <w:szCs w:val="24"/>
        </w:rPr>
        <w:t>1</w:t>
      </w:r>
      <w:r w:rsidR="00EF6959">
        <w:rPr>
          <w:rFonts w:ascii="Times New Roman" w:hAnsi="Times New Roman"/>
          <w:i w:val="0"/>
          <w:sz w:val="24"/>
          <w:szCs w:val="24"/>
        </w:rPr>
        <w:t>.4</w:t>
      </w:r>
      <w:r>
        <w:rPr>
          <w:rFonts w:ascii="Times New Roman" w:hAnsi="Times New Roman"/>
          <w:i w:val="0"/>
          <w:sz w:val="24"/>
          <w:szCs w:val="24"/>
        </w:rPr>
        <w:t>.</w:t>
      </w:r>
      <w:r w:rsidRPr="001C264F">
        <w:rPr>
          <w:rFonts w:ascii="Times New Roman" w:hAnsi="Times New Roman"/>
          <w:i w:val="0"/>
          <w:sz w:val="24"/>
          <w:szCs w:val="24"/>
        </w:rPr>
        <w:t xml:space="preserve"> Conceptual Framework</w:t>
      </w:r>
      <w:bookmarkEnd w:id="18"/>
      <w:bookmarkEnd w:id="19"/>
      <w:r w:rsidRPr="001C264F">
        <w:rPr>
          <w:rFonts w:ascii="Times New Roman" w:hAnsi="Times New Roman"/>
          <w:i w:val="0"/>
          <w:sz w:val="24"/>
          <w:szCs w:val="24"/>
        </w:rPr>
        <w:fldChar w:fldCharType="begin"/>
      </w:r>
      <w:r w:rsidRPr="001C264F">
        <w:rPr>
          <w:rFonts w:ascii="Times New Roman" w:hAnsi="Times New Roman"/>
          <w:i w:val="0"/>
          <w:sz w:val="24"/>
          <w:szCs w:val="24"/>
        </w:rPr>
        <w:instrText xml:space="preserve"> TC "2.5. Conceptual framework" \f C \l "2" </w:instrText>
      </w:r>
      <w:r w:rsidRPr="001C264F">
        <w:rPr>
          <w:rFonts w:ascii="Times New Roman" w:hAnsi="Times New Roman"/>
          <w:i w:val="0"/>
          <w:sz w:val="24"/>
          <w:szCs w:val="24"/>
        </w:rPr>
        <w:fldChar w:fldCharType="end"/>
      </w:r>
    </w:p>
    <w:p w14:paraId="74058C86" w14:textId="77777777" w:rsidR="00727282" w:rsidRDefault="00727282" w:rsidP="00727282">
      <w:pPr>
        <w:pStyle w:val="Default"/>
        <w:spacing w:after="120"/>
        <w:jc w:val="both"/>
      </w:pPr>
    </w:p>
    <w:p w14:paraId="13ECDB28" w14:textId="77777777" w:rsidR="00727282" w:rsidRPr="00C43937" w:rsidRDefault="00727282" w:rsidP="00727282">
      <w:pPr>
        <w:spacing w:after="120" w:line="240" w:lineRule="auto"/>
        <w:ind w:firstLine="720"/>
        <w:jc w:val="both"/>
        <w:rPr>
          <w:b/>
        </w:rPr>
      </w:pPr>
      <w:r>
        <w:rPr>
          <w:noProof/>
        </w:rPr>
        <mc:AlternateContent>
          <mc:Choice Requires="wps">
            <w:drawing>
              <wp:anchor distT="0" distB="0" distL="114300" distR="114300" simplePos="0" relativeHeight="251659264" behindDoc="0" locked="0" layoutInCell="1" allowOverlap="1" wp14:anchorId="18C221D8" wp14:editId="6A991B61">
                <wp:simplePos x="0" y="0"/>
                <wp:positionH relativeFrom="margin">
                  <wp:align>left</wp:align>
                </wp:positionH>
                <wp:positionV relativeFrom="paragraph">
                  <wp:posOffset>352425</wp:posOffset>
                </wp:positionV>
                <wp:extent cx="2009775" cy="2590800"/>
                <wp:effectExtent l="0" t="0" r="28575" b="19050"/>
                <wp:wrapNone/>
                <wp:docPr id="3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9775" cy="2590800"/>
                        </a:xfrm>
                        <a:prstGeom prst="rect">
                          <a:avLst/>
                        </a:prstGeom>
                        <a:solidFill>
                          <a:schemeClr val="lt1">
                            <a:lumMod val="100000"/>
                            <a:lumOff val="0"/>
                          </a:schemeClr>
                        </a:solidFill>
                        <a:ln w="25400">
                          <a:solidFill>
                            <a:schemeClr val="accent6">
                              <a:lumMod val="75000"/>
                              <a:lumOff val="0"/>
                            </a:schemeClr>
                          </a:solidFill>
                          <a:miter lim="800000"/>
                          <a:headEnd/>
                          <a:tailEnd/>
                        </a:ln>
                      </wps:spPr>
                      <wps:txbx>
                        <w:txbxContent>
                          <w:p w14:paraId="0A0D491E" w14:textId="77777777" w:rsidR="00727282" w:rsidRPr="00C43937" w:rsidRDefault="00727282" w:rsidP="00727282">
                            <w:pPr>
                              <w:spacing w:line="240" w:lineRule="auto"/>
                              <w:rPr>
                                <w:b/>
                                <w:lang w:val="en-GB"/>
                              </w:rPr>
                            </w:pPr>
                            <w:r>
                              <w:rPr>
                                <w:b/>
                                <w:lang w:val="en-GB"/>
                              </w:rPr>
                              <w:t>Bank External Factors</w:t>
                            </w:r>
                          </w:p>
                          <w:p w14:paraId="3ABAC012" w14:textId="77777777" w:rsidR="00727282" w:rsidRPr="00760A48" w:rsidRDefault="00727282" w:rsidP="00727282">
                            <w:pPr>
                              <w:pStyle w:val="ListParagraph"/>
                              <w:numPr>
                                <w:ilvl w:val="0"/>
                                <w:numId w:val="24"/>
                              </w:numPr>
                              <w:spacing w:line="240" w:lineRule="auto"/>
                              <w:rPr>
                                <w:lang w:val="en-GB"/>
                              </w:rPr>
                            </w:pPr>
                            <w:r w:rsidRPr="00760A48">
                              <w:rPr>
                                <w:lang w:val="en-GB"/>
                              </w:rPr>
                              <w:t xml:space="preserve">Inflation rate </w:t>
                            </w:r>
                          </w:p>
                          <w:p w14:paraId="2967378A" w14:textId="77777777" w:rsidR="00727282" w:rsidRPr="00760A48" w:rsidRDefault="00727282" w:rsidP="00727282">
                            <w:pPr>
                              <w:pStyle w:val="ListParagraph"/>
                              <w:numPr>
                                <w:ilvl w:val="0"/>
                                <w:numId w:val="24"/>
                              </w:numPr>
                              <w:spacing w:line="240" w:lineRule="auto"/>
                              <w:rPr>
                                <w:lang w:val="en-GB"/>
                              </w:rPr>
                            </w:pPr>
                            <w:r w:rsidRPr="00760A48">
                              <w:rPr>
                                <w:lang w:val="en-GB"/>
                              </w:rPr>
                              <w:t xml:space="preserve">GDP Growth rate </w:t>
                            </w:r>
                          </w:p>
                          <w:p w14:paraId="77CA7ED9" w14:textId="77777777" w:rsidR="00727282" w:rsidRDefault="00727282" w:rsidP="00727282">
                            <w:pPr>
                              <w:pStyle w:val="ListParagraph"/>
                              <w:numPr>
                                <w:ilvl w:val="0"/>
                                <w:numId w:val="24"/>
                              </w:numPr>
                            </w:pPr>
                            <w:r>
                              <w:t xml:space="preserve">Political stability </w:t>
                            </w:r>
                          </w:p>
                          <w:p w14:paraId="2E71433E" w14:textId="77777777" w:rsidR="00727282" w:rsidRDefault="00727282" w:rsidP="00727282">
                            <w:pPr>
                              <w:pStyle w:val="ListParagraph"/>
                              <w:numPr>
                                <w:ilvl w:val="0"/>
                                <w:numId w:val="24"/>
                              </w:numPr>
                            </w:pPr>
                            <w:r>
                              <w:t>Commodity Price</w:t>
                            </w:r>
                          </w:p>
                          <w:p w14:paraId="4A2D7777" w14:textId="77777777" w:rsidR="00727282" w:rsidRDefault="00727282" w:rsidP="00727282">
                            <w:pPr>
                              <w:pStyle w:val="ListParagraph"/>
                              <w:numPr>
                                <w:ilvl w:val="0"/>
                                <w:numId w:val="24"/>
                              </w:numPr>
                            </w:pPr>
                            <w:r>
                              <w:t>Bank Concentration</w:t>
                            </w:r>
                          </w:p>
                          <w:p w14:paraId="4D4CF72E" w14:textId="77777777" w:rsidR="00727282" w:rsidRDefault="00727282" w:rsidP="00727282">
                            <w:pPr>
                              <w:pStyle w:val="ListParagraph"/>
                              <w:numPr>
                                <w:ilvl w:val="0"/>
                                <w:numId w:val="24"/>
                              </w:numPr>
                            </w:pPr>
                            <w:r>
                              <w:t>Money Supply</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8C221D8" id="Rectangle 32" o:spid="_x0000_s1026" style="position:absolute;left:0;text-align:left;margin-left:0;margin-top:27.75pt;width:158.25pt;height:20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" fillcolor="white [3201]" strokecolor="#538135 [2409]" strokeweight="2pt">
                <v:path arrowok="t"/>
                <v:textbox>
                  <w:txbxContent>
                    <w:p w14:paraId="0A0D491E" w14:textId="77777777" w:rsidR="00727282" w:rsidRPr="00C43937" w:rsidRDefault="00727282" w:rsidP="00727282">
                      <w:pPr>
                        <w:spacing w:line="240" w:lineRule="auto"/>
                        <w:rPr>
                          <w:b/>
                          <w:lang w:val="en-GB"/>
                        </w:rPr>
                      </w:pPr>
                      <w:r>
                        <w:rPr>
                          <w:b/>
                          <w:lang w:val="en-GB"/>
                        </w:rPr>
                        <w:t>Bank External Factors</w:t>
                      </w:r>
                    </w:p>
                    <w:p w14:paraId="3ABAC012" w14:textId="77777777" w:rsidR="00727282" w:rsidRPr="00760A48" w:rsidRDefault="00727282" w:rsidP="00727282">
                      <w:pPr>
                        <w:pStyle w:val="ListParagraph"/>
                        <w:numPr>
                          <w:ilvl w:val="0"/>
                          <w:numId w:val="24"/>
                        </w:numPr>
                        <w:spacing w:line="240" w:lineRule="auto"/>
                        <w:rPr>
                          <w:lang w:val="en-GB"/>
                        </w:rPr>
                      </w:pPr>
                      <w:r w:rsidRPr="00760A48">
                        <w:rPr>
                          <w:lang w:val="en-GB"/>
                        </w:rPr>
                        <w:t xml:space="preserve">Inflation rate </w:t>
                      </w:r>
                    </w:p>
                    <w:p w14:paraId="2967378A" w14:textId="77777777" w:rsidR="00727282" w:rsidRPr="00760A48" w:rsidRDefault="00727282" w:rsidP="00727282">
                      <w:pPr>
                        <w:pStyle w:val="ListParagraph"/>
                        <w:numPr>
                          <w:ilvl w:val="0"/>
                          <w:numId w:val="24"/>
                        </w:numPr>
                        <w:spacing w:line="240" w:lineRule="auto"/>
                        <w:rPr>
                          <w:lang w:val="en-GB"/>
                        </w:rPr>
                      </w:pPr>
                      <w:r w:rsidRPr="00760A48">
                        <w:rPr>
                          <w:lang w:val="en-GB"/>
                        </w:rPr>
                        <w:t xml:space="preserve">GDP Growth rate </w:t>
                      </w:r>
                    </w:p>
                    <w:p w14:paraId="77CA7ED9" w14:textId="77777777" w:rsidR="00727282" w:rsidRDefault="00727282" w:rsidP="00727282">
                      <w:pPr>
                        <w:pStyle w:val="ListParagraph"/>
                        <w:numPr>
                          <w:ilvl w:val="0"/>
                          <w:numId w:val="24"/>
                        </w:numPr>
                      </w:pPr>
                      <w:r>
                        <w:t xml:space="preserve">Political stability </w:t>
                      </w:r>
                    </w:p>
                    <w:p w14:paraId="2E71433E" w14:textId="77777777" w:rsidR="00727282" w:rsidRDefault="00727282" w:rsidP="00727282">
                      <w:pPr>
                        <w:pStyle w:val="ListParagraph"/>
                        <w:numPr>
                          <w:ilvl w:val="0"/>
                          <w:numId w:val="24"/>
                        </w:numPr>
                      </w:pPr>
                      <w:r>
                        <w:t>Commodity Price</w:t>
                      </w:r>
                    </w:p>
                    <w:p w14:paraId="4A2D7777" w14:textId="77777777" w:rsidR="00727282" w:rsidRDefault="00727282" w:rsidP="00727282">
                      <w:pPr>
                        <w:pStyle w:val="ListParagraph"/>
                        <w:numPr>
                          <w:ilvl w:val="0"/>
                          <w:numId w:val="24"/>
                        </w:numPr>
                      </w:pPr>
                      <w:r>
                        <w:t>Bank Concentration</w:t>
                      </w:r>
                    </w:p>
                    <w:p w14:paraId="4D4CF72E" w14:textId="77777777" w:rsidR="00727282" w:rsidRDefault="00727282" w:rsidP="00727282">
                      <w:pPr>
                        <w:pStyle w:val="ListParagraph"/>
                        <w:numPr>
                          <w:ilvl w:val="0"/>
                          <w:numId w:val="24"/>
                        </w:numPr>
                      </w:pPr>
                      <w:r>
                        <w:t>Money Supply</w:t>
                      </w:r>
                    </w:p>
                  </w:txbxContent>
                </v:textbox>
                <w10:wrap anchorx="margin"/>
              </v:rect>
            </w:pict>
          </mc:Fallback>
        </mc:AlternateContent>
      </w:r>
      <w:r>
        <w:rPr>
          <w:noProof/>
        </w:rPr>
        <mc:AlternateContent>
          <mc:Choice Requires="wps">
            <w:drawing>
              <wp:anchor distT="0" distB="0" distL="114300" distR="114300" simplePos="0" relativeHeight="251660288" behindDoc="0" locked="0" layoutInCell="1" allowOverlap="1" wp14:anchorId="0EBC561F" wp14:editId="6A409CBB">
                <wp:simplePos x="0" y="0"/>
                <wp:positionH relativeFrom="column">
                  <wp:posOffset>3152775</wp:posOffset>
                </wp:positionH>
                <wp:positionV relativeFrom="paragraph">
                  <wp:posOffset>182880</wp:posOffset>
                </wp:positionV>
                <wp:extent cx="1762125" cy="1362075"/>
                <wp:effectExtent l="0" t="0" r="28575" b="28575"/>
                <wp:wrapNone/>
                <wp:docPr id="3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62125" cy="1362075"/>
                        </a:xfrm>
                        <a:prstGeom prst="rect">
                          <a:avLst/>
                        </a:prstGeom>
                        <a:solidFill>
                          <a:schemeClr val="lt1">
                            <a:lumMod val="100000"/>
                            <a:lumOff val="0"/>
                          </a:schemeClr>
                        </a:solidFill>
                        <a:ln w="25400">
                          <a:solidFill>
                            <a:schemeClr val="accent6">
                              <a:lumMod val="75000"/>
                              <a:lumOff val="0"/>
                            </a:schemeClr>
                          </a:solidFill>
                          <a:miter lim="800000"/>
                          <a:headEnd/>
                          <a:tailEnd/>
                        </a:ln>
                      </wps:spPr>
                      <wps:txbx>
                        <w:txbxContent>
                          <w:p w14:paraId="1CB38F95" w14:textId="77777777" w:rsidR="00727282" w:rsidRPr="00C43937" w:rsidRDefault="00727282" w:rsidP="00727282">
                            <w:pPr>
                              <w:jc w:val="center"/>
                              <w:rPr>
                                <w:b/>
                                <w:u w:val="single"/>
                              </w:rPr>
                            </w:pPr>
                            <w:r>
                              <w:rPr>
                                <w:b/>
                                <w:u w:val="single"/>
                              </w:rPr>
                              <w:t xml:space="preserve">Profitability </w:t>
                            </w:r>
                          </w:p>
                          <w:p w14:paraId="2F9801E0" w14:textId="77777777" w:rsidR="00727282" w:rsidRDefault="00727282" w:rsidP="00727282">
                            <w:pPr>
                              <w:pStyle w:val="ListParagraph"/>
                              <w:numPr>
                                <w:ilvl w:val="0"/>
                                <w:numId w:val="6"/>
                              </w:numPr>
                              <w:spacing w:line="360" w:lineRule="auto"/>
                              <w:rPr>
                                <w:bCs/>
                              </w:rPr>
                            </w:pPr>
                            <w:r>
                              <w:rPr>
                                <w:bCs/>
                              </w:rPr>
                              <w:t>Return on Assets</w:t>
                            </w:r>
                          </w:p>
                          <w:p w14:paraId="758CB16F" w14:textId="77777777" w:rsidR="00727282" w:rsidRDefault="00727282" w:rsidP="00727282">
                            <w:pPr>
                              <w:pStyle w:val="ListParagraph"/>
                              <w:numPr>
                                <w:ilvl w:val="0"/>
                                <w:numId w:val="6"/>
                              </w:numPr>
                              <w:spacing w:line="360" w:lineRule="auto"/>
                              <w:rPr>
                                <w:bCs/>
                              </w:rPr>
                            </w:pPr>
                            <w:r>
                              <w:rPr>
                                <w:bCs/>
                              </w:rPr>
                              <w:t xml:space="preserve">Return on Equity </w:t>
                            </w:r>
                          </w:p>
                          <w:p w14:paraId="317FDEF8" w14:textId="77777777" w:rsidR="00727282" w:rsidRDefault="00727282" w:rsidP="00727282">
                            <w:pPr>
                              <w:pStyle w:val="ListParagraph"/>
                              <w:numPr>
                                <w:ilvl w:val="0"/>
                                <w:numId w:val="6"/>
                              </w:numPr>
                              <w:spacing w:line="360" w:lineRule="auto"/>
                              <w:rPr>
                                <w:bCs/>
                              </w:rPr>
                            </w:pPr>
                            <w:r>
                              <w:rPr>
                                <w:bCs/>
                              </w:rPr>
                              <w:t>Net Interest Margin</w:t>
                            </w:r>
                          </w:p>
                          <w:p w14:paraId="11999C73" w14:textId="77777777" w:rsidR="00727282" w:rsidRPr="00C43937" w:rsidRDefault="00727282" w:rsidP="00727282">
                            <w:pPr>
                              <w:rPr>
                                <w:b/>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EBC561F" id="Rectangle 33" o:spid="_x0000_s1027" style="position:absolute;left:0;text-align:left;margin-left:248.25pt;margin-top:14.4pt;width:138.75pt;height:10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" fillcolor="white [3201]" strokecolor="#538135 [2409]" strokeweight="2pt">
                <v:path arrowok="t"/>
                <v:textbox>
                  <w:txbxContent>
                    <w:p w14:paraId="1CB38F95" w14:textId="77777777" w:rsidR="00727282" w:rsidRPr="00C43937" w:rsidRDefault="00727282" w:rsidP="00727282">
                      <w:pPr>
                        <w:jc w:val="center"/>
                        <w:rPr>
                          <w:b/>
                          <w:u w:val="single"/>
                        </w:rPr>
                      </w:pPr>
                      <w:r>
                        <w:rPr>
                          <w:b/>
                          <w:u w:val="single"/>
                        </w:rPr>
                        <w:t xml:space="preserve">Profitability </w:t>
                      </w:r>
                    </w:p>
                    <w:p w14:paraId="2F9801E0" w14:textId="77777777" w:rsidR="00727282" w:rsidRDefault="00727282" w:rsidP="00727282">
                      <w:pPr>
                        <w:pStyle w:val="ListParagraph"/>
                        <w:numPr>
                          <w:ilvl w:val="0"/>
                          <w:numId w:val="6"/>
                        </w:numPr>
                        <w:spacing w:line="360" w:lineRule="auto"/>
                        <w:rPr>
                          <w:bCs/>
                        </w:rPr>
                      </w:pPr>
                      <w:r>
                        <w:rPr>
                          <w:bCs/>
                        </w:rPr>
                        <w:t>Return on Assets</w:t>
                      </w:r>
                    </w:p>
                    <w:p w14:paraId="758CB16F" w14:textId="77777777" w:rsidR="00727282" w:rsidRDefault="00727282" w:rsidP="00727282">
                      <w:pPr>
                        <w:pStyle w:val="ListParagraph"/>
                        <w:numPr>
                          <w:ilvl w:val="0"/>
                          <w:numId w:val="6"/>
                        </w:numPr>
                        <w:spacing w:line="360" w:lineRule="auto"/>
                        <w:rPr>
                          <w:bCs/>
                        </w:rPr>
                      </w:pPr>
                      <w:r>
                        <w:rPr>
                          <w:bCs/>
                        </w:rPr>
                        <w:t xml:space="preserve">Return on Equity </w:t>
                      </w:r>
                    </w:p>
                    <w:p w14:paraId="317FDEF8" w14:textId="77777777" w:rsidR="00727282" w:rsidRDefault="00727282" w:rsidP="00727282">
                      <w:pPr>
                        <w:pStyle w:val="ListParagraph"/>
                        <w:numPr>
                          <w:ilvl w:val="0"/>
                          <w:numId w:val="6"/>
                        </w:numPr>
                        <w:spacing w:line="360" w:lineRule="auto"/>
                        <w:rPr>
                          <w:bCs/>
                        </w:rPr>
                      </w:pPr>
                      <w:r>
                        <w:rPr>
                          <w:bCs/>
                        </w:rPr>
                        <w:t>Net Interest Margin</w:t>
                      </w:r>
                    </w:p>
                    <w:p w14:paraId="11999C73" w14:textId="77777777" w:rsidR="00727282" w:rsidRPr="00C43937" w:rsidRDefault="00727282" w:rsidP="00727282">
                      <w:pPr>
                        <w:rPr>
                          <w:b/>
                        </w:rPr>
                      </w:pPr>
                    </w:p>
                  </w:txbxContent>
                </v:textbox>
              </v:rect>
            </w:pict>
          </mc:Fallback>
        </mc:AlternateContent>
      </w:r>
      <w:r w:rsidRPr="00C43937">
        <w:rPr>
          <w:b/>
        </w:rPr>
        <w:t>Independent Variable</w:t>
      </w:r>
      <w:r>
        <w:rPr>
          <w:b/>
        </w:rPr>
        <w:t>s</w:t>
      </w:r>
      <w:r w:rsidRPr="00C43937">
        <w:rPr>
          <w:b/>
        </w:rPr>
        <w:tab/>
      </w:r>
      <w:r>
        <w:tab/>
      </w:r>
      <w:r>
        <w:tab/>
      </w:r>
      <w:r w:rsidRPr="00C43937">
        <w:rPr>
          <w:b/>
        </w:rPr>
        <w:t>Dependent Variable</w:t>
      </w:r>
    </w:p>
    <w:p w14:paraId="00A0455B" w14:textId="77777777" w:rsidR="00727282" w:rsidRDefault="00727282" w:rsidP="00727282">
      <w:pPr>
        <w:spacing w:after="120" w:line="240" w:lineRule="auto"/>
        <w:jc w:val="both"/>
      </w:pPr>
      <w:r>
        <w:rPr>
          <w:i/>
          <w:noProof/>
        </w:rPr>
        <mc:AlternateContent>
          <mc:Choice Requires="wps">
            <w:drawing>
              <wp:anchor distT="0" distB="0" distL="114300" distR="114300" simplePos="0" relativeHeight="251663360" behindDoc="0" locked="0" layoutInCell="1" allowOverlap="1" wp14:anchorId="4BC997FC" wp14:editId="0FD88786">
                <wp:simplePos x="0" y="0"/>
                <wp:positionH relativeFrom="column">
                  <wp:posOffset>2295525</wp:posOffset>
                </wp:positionH>
                <wp:positionV relativeFrom="paragraph">
                  <wp:posOffset>430530</wp:posOffset>
                </wp:positionV>
                <wp:extent cx="484505" cy="2019300"/>
                <wp:effectExtent l="19050" t="19050" r="29845" b="19050"/>
                <wp:wrapNone/>
                <wp:docPr id="41" name="Up Arrow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019300"/>
                        </a:xfrm>
                        <a:prstGeom prst="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DFF6014"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41" o:spid="_x0000_s1026" type="#_x0000_t68" style="position:absolute;margin-left:180.75pt;margin-top:33.9pt;width:38.15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" adj="2591" fillcolor="white [3201]" strokecolor="#70ad47 [3209]" strokeweight="1pt">
                <v:path arrowok="t"/>
              </v:shape>
            </w:pict>
          </mc:Fallback>
        </mc:AlternateContent>
      </w:r>
      <w:r>
        <w:rPr>
          <w:noProof/>
        </w:rPr>
        <mc:AlternateContent>
          <mc:Choice Requires="wps">
            <w:drawing>
              <wp:anchor distT="0" distB="0" distL="114300" distR="114300" simplePos="0" relativeHeight="251661312" behindDoc="0" locked="0" layoutInCell="1" allowOverlap="1" wp14:anchorId="00D3E584" wp14:editId="5C18B784">
                <wp:simplePos x="0" y="0"/>
                <wp:positionH relativeFrom="column">
                  <wp:posOffset>2019301</wp:posOffset>
                </wp:positionH>
                <wp:positionV relativeFrom="paragraph">
                  <wp:posOffset>179070</wp:posOffset>
                </wp:positionV>
                <wp:extent cx="1141730" cy="319405"/>
                <wp:effectExtent l="0" t="19050" r="39370" b="42545"/>
                <wp:wrapNone/>
                <wp:docPr id="31" name="Right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1730" cy="319405"/>
                        </a:xfrm>
                        <a:prstGeom prst="rightArrow">
                          <a:avLst>
                            <a:gd name="adj1" fmla="val 50000"/>
                            <a:gd name="adj2" fmla="val 50001"/>
                          </a:avLst>
                        </a:prstGeom>
                        <a:solidFill>
                          <a:schemeClr val="lt1">
                            <a:lumMod val="100000"/>
                            <a:lumOff val="0"/>
                          </a:schemeClr>
                        </a:solidFill>
                        <a:ln w="25400">
                          <a:solidFill>
                            <a:schemeClr val="accent6">
                              <a:lumMod val="75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type w14:anchorId="3B97421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5" o:spid="_x0000_s1026" type="#_x0000_t13" style="position:absolute;margin-left:159pt;margin-top:14.1pt;width:89.9pt;height:2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" adj="18579" fillcolor="white [3201]" strokecolor="#538135 [2409]" strokeweight="2pt">
                <v:path arrowok="t"/>
              </v:shape>
            </w:pict>
          </mc:Fallback>
        </mc:AlternateContent>
      </w:r>
    </w:p>
    <w:p w14:paraId="1F9173E6" w14:textId="77777777" w:rsidR="00727282" w:rsidRDefault="00727282" w:rsidP="00727282">
      <w:pPr>
        <w:spacing w:after="120" w:line="240" w:lineRule="auto"/>
        <w:jc w:val="both"/>
      </w:pPr>
    </w:p>
    <w:p w14:paraId="2A180F1B" w14:textId="77777777" w:rsidR="00727282" w:rsidRDefault="00727282" w:rsidP="00727282">
      <w:pPr>
        <w:spacing w:after="120" w:line="240" w:lineRule="auto"/>
        <w:jc w:val="both"/>
      </w:pPr>
    </w:p>
    <w:p w14:paraId="780847E6" w14:textId="77777777" w:rsidR="00727282" w:rsidRDefault="00727282" w:rsidP="00727282"/>
    <w:p w14:paraId="70BB36E1" w14:textId="77777777" w:rsidR="00727282" w:rsidRDefault="00727282" w:rsidP="00727282">
      <w:pPr>
        <w:spacing w:line="240" w:lineRule="auto"/>
        <w:ind w:left="90"/>
        <w:jc w:val="both"/>
      </w:pPr>
    </w:p>
    <w:p w14:paraId="593542C2" w14:textId="77777777" w:rsidR="00727282" w:rsidRDefault="00727282" w:rsidP="00727282">
      <w:pPr>
        <w:spacing w:line="240" w:lineRule="auto"/>
        <w:ind w:left="90"/>
        <w:jc w:val="both"/>
      </w:pPr>
    </w:p>
    <w:p w14:paraId="6B4EF167" w14:textId="77777777" w:rsidR="00727282" w:rsidRDefault="00727282" w:rsidP="00727282">
      <w:pPr>
        <w:spacing w:line="240" w:lineRule="auto"/>
        <w:jc w:val="center"/>
        <w:rPr>
          <w:b/>
        </w:rPr>
      </w:pPr>
      <w:bookmarkStart w:id="20" w:name="_Toc418955339"/>
      <w:r>
        <w:rPr>
          <w:noProof/>
        </w:rPr>
        <mc:AlternateContent>
          <mc:Choice Requires="wps">
            <w:drawing>
              <wp:anchor distT="0" distB="0" distL="114300" distR="114300" simplePos="0" relativeHeight="251664384" behindDoc="0" locked="0" layoutInCell="1" allowOverlap="1" wp14:anchorId="3B45367F" wp14:editId="69486885">
                <wp:simplePos x="0" y="0"/>
                <wp:positionH relativeFrom="margin">
                  <wp:align>left</wp:align>
                </wp:positionH>
                <wp:positionV relativeFrom="paragraph">
                  <wp:posOffset>5715</wp:posOffset>
                </wp:positionV>
                <wp:extent cx="2000250" cy="2390775"/>
                <wp:effectExtent l="0" t="0" r="19050" b="28575"/>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0" cy="2390775"/>
                        </a:xfrm>
                        <a:prstGeom prst="rect">
                          <a:avLst/>
                        </a:prstGeom>
                        <a:solidFill>
                          <a:schemeClr val="lt1">
                            <a:lumMod val="100000"/>
                            <a:lumOff val="0"/>
                          </a:schemeClr>
                        </a:solidFill>
                        <a:ln w="25400">
                          <a:solidFill>
                            <a:schemeClr val="accent6">
                              <a:lumMod val="75000"/>
                              <a:lumOff val="0"/>
                            </a:schemeClr>
                          </a:solidFill>
                          <a:miter lim="800000"/>
                          <a:headEnd/>
                          <a:tailEnd/>
                        </a:ln>
                      </wps:spPr>
                      <wps:txbx>
                        <w:txbxContent>
                          <w:p w14:paraId="4D139EC6" w14:textId="77777777" w:rsidR="00727282" w:rsidRPr="00C43937" w:rsidRDefault="00727282" w:rsidP="00727282">
                            <w:pPr>
                              <w:spacing w:line="240" w:lineRule="auto"/>
                              <w:rPr>
                                <w:b/>
                                <w:lang w:val="en-GB"/>
                              </w:rPr>
                            </w:pPr>
                            <w:r>
                              <w:rPr>
                                <w:b/>
                                <w:lang w:val="en-GB"/>
                              </w:rPr>
                              <w:t>Bank Internal Factors</w:t>
                            </w:r>
                          </w:p>
                          <w:p w14:paraId="04BEF836"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Capital adequacy </w:t>
                            </w:r>
                          </w:p>
                          <w:p w14:paraId="2D44E0C6" w14:textId="77777777" w:rsidR="00727282" w:rsidRPr="00760A48" w:rsidRDefault="00727282" w:rsidP="00727282">
                            <w:pPr>
                              <w:pStyle w:val="ListParagraph"/>
                              <w:numPr>
                                <w:ilvl w:val="0"/>
                                <w:numId w:val="25"/>
                              </w:numPr>
                              <w:spacing w:line="240" w:lineRule="auto"/>
                              <w:rPr>
                                <w:lang w:val="en-GB"/>
                              </w:rPr>
                            </w:pPr>
                            <w:r w:rsidRPr="00760A48">
                              <w:rPr>
                                <w:lang w:val="en-GB"/>
                              </w:rPr>
                              <w:t>Asset quality</w:t>
                            </w:r>
                          </w:p>
                          <w:p w14:paraId="466FC566" w14:textId="77777777" w:rsidR="00727282" w:rsidRPr="00760A48" w:rsidRDefault="00727282" w:rsidP="00727282">
                            <w:pPr>
                              <w:pStyle w:val="ListParagraph"/>
                              <w:numPr>
                                <w:ilvl w:val="0"/>
                                <w:numId w:val="25"/>
                              </w:numPr>
                              <w:spacing w:line="240" w:lineRule="auto"/>
                              <w:rPr>
                                <w:lang w:val="en-GB"/>
                              </w:rPr>
                            </w:pPr>
                            <w:r w:rsidRPr="00760A48">
                              <w:rPr>
                                <w:lang w:val="en-GB"/>
                              </w:rPr>
                              <w:t>Management efficiency</w:t>
                            </w:r>
                          </w:p>
                          <w:p w14:paraId="48F4C01B"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Liquidity management </w:t>
                            </w:r>
                          </w:p>
                          <w:p w14:paraId="707AB4C8"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Bank size </w:t>
                            </w:r>
                          </w:p>
                          <w:p w14:paraId="2E7648DB"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Risk management </w:t>
                            </w:r>
                          </w:p>
                          <w:p w14:paraId="0AD5B821" w14:textId="77777777" w:rsidR="00727282" w:rsidRDefault="00727282" w:rsidP="00727282">
                            <w:pPr>
                              <w:pStyle w:val="ListParagraph"/>
                              <w:numPr>
                                <w:ilvl w:val="0"/>
                                <w:numId w:val="25"/>
                              </w:numPr>
                              <w:spacing w:line="240" w:lineRule="auto"/>
                              <w:rPr>
                                <w:lang w:val="en-GB"/>
                              </w:rPr>
                            </w:pPr>
                            <w:r w:rsidRPr="00760A48">
                              <w:rPr>
                                <w:lang w:val="en-GB"/>
                              </w:rPr>
                              <w:t xml:space="preserve">Ownership </w:t>
                            </w:r>
                          </w:p>
                          <w:p w14:paraId="440570CD" w14:textId="77777777" w:rsidR="00727282" w:rsidRPr="00760A48" w:rsidRDefault="00727282" w:rsidP="00727282">
                            <w:pPr>
                              <w:pStyle w:val="ListParagraph"/>
                              <w:numPr>
                                <w:ilvl w:val="0"/>
                                <w:numId w:val="25"/>
                              </w:numPr>
                              <w:spacing w:line="240" w:lineRule="auto"/>
                              <w:rPr>
                                <w:lang w:val="en-GB"/>
                              </w:rPr>
                            </w:pPr>
                            <w:r>
                              <w:rPr>
                                <w:lang w:val="en-GB"/>
                              </w:rPr>
                              <w:t>Loans Management</w:t>
                            </w:r>
                          </w:p>
                          <w:p w14:paraId="1FC545C3" w14:textId="77777777" w:rsidR="00727282" w:rsidRPr="004F1512" w:rsidRDefault="00727282" w:rsidP="00727282">
                            <w:pPr>
                              <w:spacing w:line="240" w:lineRule="auto"/>
                              <w:rPr>
                                <w:lang w:val="en-GB"/>
                              </w:rPr>
                            </w:pPr>
                          </w:p>
                          <w:p w14:paraId="6E1202C8" w14:textId="77777777" w:rsidR="00727282" w:rsidRDefault="00727282" w:rsidP="00727282">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B45367F" id="_x0000_s1028" style="position:absolute;left:0;text-align:left;margin-left:0;margin-top:.45pt;width:157.5pt;height:188.2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" fillcolor="white [3201]" strokecolor="#538135 [2409]" strokeweight="2pt">
                <v:path arrowok="t"/>
                <v:textbox>
                  <w:txbxContent>
                    <w:p w14:paraId="4D139EC6" w14:textId="77777777" w:rsidR="00727282" w:rsidRPr="00C43937" w:rsidRDefault="00727282" w:rsidP="00727282">
                      <w:pPr>
                        <w:spacing w:line="240" w:lineRule="auto"/>
                        <w:rPr>
                          <w:b/>
                          <w:lang w:val="en-GB"/>
                        </w:rPr>
                      </w:pPr>
                      <w:r>
                        <w:rPr>
                          <w:b/>
                          <w:lang w:val="en-GB"/>
                        </w:rPr>
                        <w:t>Bank Internal Factors</w:t>
                      </w:r>
                    </w:p>
                    <w:p w14:paraId="04BEF836"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Capital adequacy </w:t>
                      </w:r>
                    </w:p>
                    <w:p w14:paraId="2D44E0C6" w14:textId="77777777" w:rsidR="00727282" w:rsidRPr="00760A48" w:rsidRDefault="00727282" w:rsidP="00727282">
                      <w:pPr>
                        <w:pStyle w:val="ListParagraph"/>
                        <w:numPr>
                          <w:ilvl w:val="0"/>
                          <w:numId w:val="25"/>
                        </w:numPr>
                        <w:spacing w:line="240" w:lineRule="auto"/>
                        <w:rPr>
                          <w:lang w:val="en-GB"/>
                        </w:rPr>
                      </w:pPr>
                      <w:r w:rsidRPr="00760A48">
                        <w:rPr>
                          <w:lang w:val="en-GB"/>
                        </w:rPr>
                        <w:t>Asset quality</w:t>
                      </w:r>
                    </w:p>
                    <w:p w14:paraId="466FC566" w14:textId="77777777" w:rsidR="00727282" w:rsidRPr="00760A48" w:rsidRDefault="00727282" w:rsidP="00727282">
                      <w:pPr>
                        <w:pStyle w:val="ListParagraph"/>
                        <w:numPr>
                          <w:ilvl w:val="0"/>
                          <w:numId w:val="25"/>
                        </w:numPr>
                        <w:spacing w:line="240" w:lineRule="auto"/>
                        <w:rPr>
                          <w:lang w:val="en-GB"/>
                        </w:rPr>
                      </w:pPr>
                      <w:r w:rsidRPr="00760A48">
                        <w:rPr>
                          <w:lang w:val="en-GB"/>
                        </w:rPr>
                        <w:t>Management efficiency</w:t>
                      </w:r>
                    </w:p>
                    <w:p w14:paraId="48F4C01B"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Liquidity management </w:t>
                      </w:r>
                    </w:p>
                    <w:p w14:paraId="707AB4C8"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Bank size </w:t>
                      </w:r>
                    </w:p>
                    <w:p w14:paraId="2E7648DB" w14:textId="77777777" w:rsidR="00727282" w:rsidRPr="00760A48" w:rsidRDefault="00727282" w:rsidP="00727282">
                      <w:pPr>
                        <w:pStyle w:val="ListParagraph"/>
                        <w:numPr>
                          <w:ilvl w:val="0"/>
                          <w:numId w:val="25"/>
                        </w:numPr>
                        <w:spacing w:line="240" w:lineRule="auto"/>
                        <w:rPr>
                          <w:lang w:val="en-GB"/>
                        </w:rPr>
                      </w:pPr>
                      <w:r w:rsidRPr="00760A48">
                        <w:rPr>
                          <w:lang w:val="en-GB"/>
                        </w:rPr>
                        <w:t xml:space="preserve">Risk management </w:t>
                      </w:r>
                    </w:p>
                    <w:p w14:paraId="0AD5B821" w14:textId="77777777" w:rsidR="00727282" w:rsidRDefault="00727282" w:rsidP="00727282">
                      <w:pPr>
                        <w:pStyle w:val="ListParagraph"/>
                        <w:numPr>
                          <w:ilvl w:val="0"/>
                          <w:numId w:val="25"/>
                        </w:numPr>
                        <w:spacing w:line="240" w:lineRule="auto"/>
                        <w:rPr>
                          <w:lang w:val="en-GB"/>
                        </w:rPr>
                      </w:pPr>
                      <w:r w:rsidRPr="00760A48">
                        <w:rPr>
                          <w:lang w:val="en-GB"/>
                        </w:rPr>
                        <w:t xml:space="preserve">Ownership </w:t>
                      </w:r>
                    </w:p>
                    <w:p w14:paraId="440570CD" w14:textId="77777777" w:rsidR="00727282" w:rsidRPr="00760A48" w:rsidRDefault="00727282" w:rsidP="00727282">
                      <w:pPr>
                        <w:pStyle w:val="ListParagraph"/>
                        <w:numPr>
                          <w:ilvl w:val="0"/>
                          <w:numId w:val="25"/>
                        </w:numPr>
                        <w:spacing w:line="240" w:lineRule="auto"/>
                        <w:rPr>
                          <w:lang w:val="en-GB"/>
                        </w:rPr>
                      </w:pPr>
                      <w:r>
                        <w:rPr>
                          <w:lang w:val="en-GB"/>
                        </w:rPr>
                        <w:t>Loans Management</w:t>
                      </w:r>
                    </w:p>
                    <w:p w14:paraId="1FC545C3" w14:textId="77777777" w:rsidR="00727282" w:rsidRPr="004F1512" w:rsidRDefault="00727282" w:rsidP="00727282">
                      <w:pPr>
                        <w:spacing w:line="240" w:lineRule="auto"/>
                        <w:rPr>
                          <w:lang w:val="en-GB"/>
                        </w:rPr>
                      </w:pPr>
                    </w:p>
                    <w:p w14:paraId="6E1202C8" w14:textId="77777777" w:rsidR="00727282" w:rsidRDefault="00727282" w:rsidP="00727282">
                      <w:pPr>
                        <w:jc w:val="center"/>
                      </w:pPr>
                    </w:p>
                  </w:txbxContent>
                </v:textbox>
                <w10:wrap anchorx="margin"/>
              </v:rect>
            </w:pict>
          </mc:Fallback>
        </mc:AlternateContent>
      </w:r>
      <w:r>
        <w:rPr>
          <w:noProof/>
        </w:rPr>
        <mc:AlternateContent>
          <mc:Choice Requires="wps">
            <w:drawing>
              <wp:anchor distT="0" distB="0" distL="114300" distR="114300" simplePos="0" relativeHeight="251662336" behindDoc="0" locked="0" layoutInCell="1" allowOverlap="1" wp14:anchorId="19DEB3F9" wp14:editId="0FAB2263">
                <wp:simplePos x="0" y="0"/>
                <wp:positionH relativeFrom="column">
                  <wp:posOffset>2143125</wp:posOffset>
                </wp:positionH>
                <wp:positionV relativeFrom="paragraph">
                  <wp:posOffset>3810</wp:posOffset>
                </wp:positionV>
                <wp:extent cx="2609850" cy="838200"/>
                <wp:effectExtent l="0" t="0" r="19050" b="1905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0" cy="8382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401B4A8" w14:textId="77777777" w:rsidR="00727282" w:rsidRDefault="00727282" w:rsidP="00727282">
                            <w:pPr>
                              <w:spacing w:line="240" w:lineRule="auto"/>
                              <w:rPr>
                                <w:b/>
                              </w:rPr>
                            </w:pPr>
                            <w:r w:rsidRPr="009C545A">
                              <w:rPr>
                                <w:b/>
                              </w:rPr>
                              <w:t>Intervening Variable</w:t>
                            </w:r>
                          </w:p>
                          <w:p w14:paraId="107C7091" w14:textId="77777777" w:rsidR="00727282" w:rsidRPr="009E27F6" w:rsidRDefault="00727282" w:rsidP="00727282">
                            <w:pPr>
                              <w:spacing w:line="240" w:lineRule="auto"/>
                              <w:rPr>
                                <w:b/>
                              </w:rPr>
                            </w:pPr>
                            <w:r>
                              <w:t>Central bank</w:t>
                            </w:r>
                            <w:r w:rsidRPr="004F1512">
                              <w:t xml:space="preserve"> policies</w:t>
                            </w:r>
                          </w:p>
                          <w:p w14:paraId="10F734DC" w14:textId="77777777" w:rsidR="00727282" w:rsidRPr="004F1512" w:rsidRDefault="00727282" w:rsidP="007272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9DEB3F9" id="Rounded Rectangle 40" o:spid="_x0000_s1029" style="position:absolute;left:0;text-align:left;margin-left:168.75pt;margin-top:.3pt;width:205.5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" fillcolor="white [3201]" strokecolor="#70ad47 [3209]" strokeweight="1pt">
                <v:stroke joinstyle="miter"/>
                <v:path arrowok="t"/>
                <v:textbox>
                  <w:txbxContent>
                    <w:p w14:paraId="4401B4A8" w14:textId="77777777" w:rsidR="00727282" w:rsidRDefault="00727282" w:rsidP="00727282">
                      <w:pPr>
                        <w:spacing w:line="240" w:lineRule="auto"/>
                        <w:rPr>
                          <w:b/>
                        </w:rPr>
                      </w:pPr>
                      <w:r w:rsidRPr="009C545A">
                        <w:rPr>
                          <w:b/>
                        </w:rPr>
                        <w:t>Intervening Variable</w:t>
                      </w:r>
                    </w:p>
                    <w:p w14:paraId="107C7091" w14:textId="77777777" w:rsidR="00727282" w:rsidRPr="009E27F6" w:rsidRDefault="00727282" w:rsidP="00727282">
                      <w:pPr>
                        <w:spacing w:line="240" w:lineRule="auto"/>
                        <w:rPr>
                          <w:b/>
                        </w:rPr>
                      </w:pPr>
                      <w:r>
                        <w:t>Central bank</w:t>
                      </w:r>
                      <w:r w:rsidRPr="004F1512">
                        <w:t xml:space="preserve"> policies</w:t>
                      </w:r>
                    </w:p>
                    <w:p w14:paraId="10F734DC" w14:textId="77777777" w:rsidR="00727282" w:rsidRPr="004F1512" w:rsidRDefault="00727282" w:rsidP="00727282">
                      <w:pPr>
                        <w:jc w:val="center"/>
                      </w:pPr>
                    </w:p>
                  </w:txbxContent>
                </v:textbox>
              </v:roundrect>
            </w:pict>
          </mc:Fallback>
        </mc:AlternateContent>
      </w:r>
      <w:bookmarkEnd w:id="20"/>
    </w:p>
    <w:p w14:paraId="4E8FEFF5" w14:textId="77777777" w:rsidR="00727282" w:rsidRDefault="00727282" w:rsidP="00727282">
      <w:pPr>
        <w:spacing w:line="240" w:lineRule="auto"/>
        <w:jc w:val="center"/>
        <w:rPr>
          <w:b/>
        </w:rPr>
      </w:pPr>
    </w:p>
    <w:p w14:paraId="02F56772" w14:textId="77777777" w:rsidR="00727282" w:rsidRDefault="00727282" w:rsidP="00727282">
      <w:pPr>
        <w:pStyle w:val="Caption"/>
        <w:spacing w:line="240" w:lineRule="auto"/>
        <w:rPr>
          <w:b/>
          <w:color w:val="000000" w:themeColor="text1"/>
          <w:szCs w:val="24"/>
        </w:rPr>
      </w:pPr>
      <w:bookmarkStart w:id="21" w:name="_Toc443313654"/>
    </w:p>
    <w:p w14:paraId="1B8E20EF" w14:textId="77777777" w:rsidR="00727282" w:rsidRDefault="00727282" w:rsidP="00727282">
      <w:pPr>
        <w:pStyle w:val="Caption"/>
        <w:spacing w:line="240" w:lineRule="auto"/>
        <w:rPr>
          <w:b/>
          <w:color w:val="000000" w:themeColor="text1"/>
          <w:szCs w:val="24"/>
        </w:rPr>
      </w:pPr>
    </w:p>
    <w:p w14:paraId="36924439" w14:textId="642F470D" w:rsidR="00727282" w:rsidRDefault="00EF6959" w:rsidP="00EF6959">
      <w:pPr>
        <w:pStyle w:val="Caption"/>
        <w:tabs>
          <w:tab w:val="left" w:pos="3915"/>
        </w:tabs>
        <w:spacing w:line="240" w:lineRule="auto"/>
        <w:rPr>
          <w:b/>
          <w:color w:val="000000" w:themeColor="text1"/>
          <w:szCs w:val="24"/>
        </w:rPr>
      </w:pPr>
      <w:r>
        <w:rPr>
          <w:b/>
          <w:color w:val="000000" w:themeColor="text1"/>
          <w:szCs w:val="24"/>
        </w:rPr>
        <w:tab/>
      </w:r>
    </w:p>
    <w:p w14:paraId="04C5A919" w14:textId="77777777" w:rsidR="00EF6959" w:rsidRDefault="00EF6959" w:rsidP="00EF6959"/>
    <w:p w14:paraId="2DF4E2B9" w14:textId="77777777" w:rsidR="00EF6959" w:rsidRPr="00EF6959" w:rsidRDefault="00EF6959" w:rsidP="00EF6959"/>
    <w:p w14:paraId="24500F8F" w14:textId="77777777" w:rsidR="00727282" w:rsidRDefault="00727282" w:rsidP="00727282">
      <w:pPr>
        <w:pStyle w:val="Caption"/>
        <w:spacing w:line="240" w:lineRule="auto"/>
        <w:rPr>
          <w:b/>
          <w:color w:val="000000" w:themeColor="text1"/>
          <w:szCs w:val="24"/>
        </w:rPr>
      </w:pPr>
    </w:p>
    <w:p w14:paraId="2E71940D" w14:textId="77777777" w:rsidR="00727282" w:rsidRDefault="00727282" w:rsidP="00727282">
      <w:pPr>
        <w:pStyle w:val="Caption"/>
        <w:spacing w:line="240" w:lineRule="auto"/>
        <w:rPr>
          <w:b/>
          <w:color w:val="000000" w:themeColor="text1"/>
          <w:szCs w:val="24"/>
        </w:rPr>
      </w:pPr>
      <w:bookmarkStart w:id="22" w:name="_Toc457894526"/>
      <w:r w:rsidRPr="005B7299">
        <w:rPr>
          <w:b/>
          <w:color w:val="000000" w:themeColor="text1"/>
          <w:szCs w:val="24"/>
        </w:rPr>
        <w:t>Figure 2.</w:t>
      </w:r>
      <w:r w:rsidRPr="005B7299">
        <w:rPr>
          <w:b/>
          <w:color w:val="000000" w:themeColor="text1"/>
          <w:szCs w:val="24"/>
        </w:rPr>
        <w:fldChar w:fldCharType="begin"/>
      </w:r>
      <w:r w:rsidRPr="005B7299">
        <w:rPr>
          <w:b/>
          <w:color w:val="000000" w:themeColor="text1"/>
          <w:szCs w:val="24"/>
        </w:rPr>
        <w:instrText xml:space="preserve"> SEQ Figure \* ARABIC </w:instrText>
      </w:r>
      <w:r w:rsidRPr="005B7299">
        <w:rPr>
          <w:b/>
          <w:color w:val="000000" w:themeColor="text1"/>
          <w:szCs w:val="24"/>
        </w:rPr>
        <w:fldChar w:fldCharType="separate"/>
      </w:r>
      <w:r>
        <w:rPr>
          <w:b/>
          <w:noProof/>
          <w:color w:val="000000" w:themeColor="text1"/>
          <w:szCs w:val="24"/>
        </w:rPr>
        <w:t>1</w:t>
      </w:r>
      <w:r w:rsidRPr="005B7299">
        <w:rPr>
          <w:b/>
          <w:color w:val="000000" w:themeColor="text1"/>
          <w:szCs w:val="24"/>
        </w:rPr>
        <w:fldChar w:fldCharType="end"/>
      </w:r>
      <w:r w:rsidRPr="005B7299">
        <w:rPr>
          <w:b/>
          <w:color w:val="000000" w:themeColor="text1"/>
          <w:szCs w:val="24"/>
        </w:rPr>
        <w:t>: Conceptual Framework</w:t>
      </w:r>
      <w:bookmarkEnd w:id="21"/>
      <w:bookmarkEnd w:id="22"/>
    </w:p>
    <w:p w14:paraId="428B5B87" w14:textId="2368E133" w:rsidR="00E62866" w:rsidRDefault="00727282" w:rsidP="00E62866">
      <w:pPr>
        <w:pStyle w:val="Heading2"/>
        <w:spacing w:line="240" w:lineRule="auto"/>
        <w:rPr>
          <w:rFonts w:ascii="Times New Roman" w:hAnsi="Times New Roman"/>
          <w:i w:val="0"/>
          <w:sz w:val="24"/>
          <w:szCs w:val="24"/>
        </w:rPr>
      </w:pPr>
      <w:bookmarkStart w:id="23" w:name="_Toc399608922"/>
      <w:bookmarkStart w:id="24" w:name="_Toc405752029"/>
      <w:bookmarkStart w:id="25" w:name="_Toc411816466"/>
      <w:bookmarkStart w:id="26" w:name="_Toc418955335"/>
      <w:bookmarkStart w:id="27" w:name="_Toc451177948"/>
      <w:bookmarkStart w:id="28" w:name="_Toc452487317"/>
      <w:r>
        <w:rPr>
          <w:rFonts w:ascii="Times New Roman" w:hAnsi="Times New Roman"/>
          <w:i w:val="0"/>
          <w:sz w:val="24"/>
          <w:szCs w:val="24"/>
        </w:rPr>
        <w:lastRenderedPageBreak/>
        <w:t>2.</w:t>
      </w:r>
      <w:r w:rsidR="00E62866" w:rsidRPr="00A33D21">
        <w:rPr>
          <w:rFonts w:ascii="Times New Roman" w:hAnsi="Times New Roman"/>
          <w:i w:val="0"/>
          <w:sz w:val="24"/>
          <w:szCs w:val="24"/>
        </w:rPr>
        <w:t xml:space="preserve"> </w:t>
      </w:r>
      <w:bookmarkEnd w:id="23"/>
      <w:bookmarkEnd w:id="24"/>
      <w:bookmarkEnd w:id="25"/>
      <w:bookmarkEnd w:id="26"/>
      <w:bookmarkEnd w:id="27"/>
      <w:bookmarkEnd w:id="28"/>
      <w:r>
        <w:rPr>
          <w:rFonts w:ascii="Times New Roman" w:hAnsi="Times New Roman"/>
          <w:i w:val="0"/>
          <w:sz w:val="24"/>
          <w:szCs w:val="24"/>
        </w:rPr>
        <w:t xml:space="preserve">Related Studies </w:t>
      </w:r>
    </w:p>
    <w:p w14:paraId="774316B1" w14:textId="77777777" w:rsidR="00E62866" w:rsidRDefault="00E62866" w:rsidP="00E62866">
      <w:pPr>
        <w:spacing w:line="240" w:lineRule="auto"/>
        <w:jc w:val="both"/>
        <w:rPr>
          <w:noProof/>
        </w:rPr>
      </w:pPr>
      <w:r w:rsidRPr="00C24DE0">
        <w:rPr>
          <w:noProof/>
        </w:rPr>
        <w:t>Pooran (2014) carried out a st</w:t>
      </w:r>
      <w:r>
        <w:rPr>
          <w:noProof/>
        </w:rPr>
        <w:t xml:space="preserve">udy on factors affecting United </w:t>
      </w:r>
      <w:r w:rsidRPr="00C24DE0">
        <w:rPr>
          <w:noProof/>
        </w:rPr>
        <w:t>S</w:t>
      </w:r>
      <w:r>
        <w:rPr>
          <w:noProof/>
        </w:rPr>
        <w:t>tated of America (USA)</w:t>
      </w:r>
      <w:r w:rsidRPr="00C24DE0">
        <w:rPr>
          <w:noProof/>
        </w:rPr>
        <w:t xml:space="preserve">. banking performance.  The objective of the study was to determine the effects of bank specific factors and factors outside of the bank’s control on bank profitability in the United States during the 2007-2013 financial crisis. The results, estimated by using generalized least square, showed that the bank market related factors, loan marketing strategies and portfolio diversification, explained most of the variability in bank profitability compared with bank specific factors, interest rate risk, credit risk, liquidity risk and capitalization risks, which explained about twenty three percent and macroeconomic/vocational factors, per capita income, bank size and bank locations, which explained about eleven percent of the variability in bank profitability. Among variables studied, loan marketing strategies and portfolio diversification, and interest rate risk and capitalization management strategies had a positive effect, while credit risk had a negative effect on profitability. </w:t>
      </w:r>
    </w:p>
    <w:p w14:paraId="63CA7D88" w14:textId="77777777" w:rsidR="00E62866" w:rsidRDefault="00E62866" w:rsidP="00E62866">
      <w:pPr>
        <w:spacing w:line="240" w:lineRule="auto"/>
        <w:jc w:val="both"/>
      </w:pPr>
      <w:r>
        <w:rPr>
          <w:noProof/>
        </w:rPr>
        <w:t>Waqas, Muhammad,  Haseeb, Inam and  Imran (</w:t>
      </w:r>
      <w:r w:rsidRPr="00C24DE0">
        <w:rPr>
          <w:noProof/>
        </w:rPr>
        <w:t>2014)</w:t>
      </w:r>
      <w:r>
        <w:rPr>
          <w:noProof/>
        </w:rPr>
        <w:t xml:space="preserve"> analyzed </w:t>
      </w:r>
      <w:r w:rsidRPr="00BB204C">
        <w:t>determinants of commercial banks profitability</w:t>
      </w:r>
      <w:r>
        <w:t xml:space="preserve"> in Pakistan.  The objective of the study was to examine</w:t>
      </w:r>
      <w:r w:rsidRPr="00BB204C">
        <w:t xml:space="preserve"> the influence of commercial banks determinants on the performance of Pakistan</w:t>
      </w:r>
      <w:r>
        <w:t>i banks</w:t>
      </w:r>
      <w:r w:rsidRPr="00BB204C">
        <w:t xml:space="preserve"> over the time period from 2004-2010.</w:t>
      </w:r>
      <w:r>
        <w:t xml:space="preserve"> The study used secondary data. Result indicated</w:t>
      </w:r>
      <w:r w:rsidRPr="00BB204C">
        <w:t xml:space="preserve"> that the capital strength of a bank is utmost significance in affecting its performance, as a well-capitalized bank is observed to be less risky and such edge lead to high profitability. The assets quality, measured by the loans loss provisions, affects the performance of the banks positively and bank size as deposit indicates direct association with profitability as large banks earn more profit instead of small banks.</w:t>
      </w:r>
      <w:r>
        <w:t xml:space="preserve"> The study also found that  inflation</w:t>
      </w:r>
      <w:r w:rsidRPr="00BB204C">
        <w:t xml:space="preserve"> affects the bank’s profitability inversely as increase inflation affects banks cost that increased and its earning main source is its fee that it charge on its services but free services without any charges decrease in gross income that lead a reduction in profit.</w:t>
      </w:r>
    </w:p>
    <w:p w14:paraId="6A3EC6B6" w14:textId="77777777" w:rsidR="00E62866" w:rsidRDefault="00E62866" w:rsidP="00E62866">
      <w:pPr>
        <w:spacing w:line="240" w:lineRule="auto"/>
        <w:jc w:val="both"/>
        <w:rPr>
          <w:noProof/>
        </w:rPr>
      </w:pPr>
      <w:r>
        <w:rPr>
          <w:noProof/>
        </w:rPr>
        <w:t>Ong and  Teh (2</w:t>
      </w:r>
      <w:r w:rsidRPr="00BB204C">
        <w:rPr>
          <w:noProof/>
        </w:rPr>
        <w:t>013)</w:t>
      </w:r>
      <w:r>
        <w:rPr>
          <w:noProof/>
        </w:rPr>
        <w:t xml:space="preserve"> analyzed f</w:t>
      </w:r>
      <w:r w:rsidRPr="00BB204C">
        <w:rPr>
          <w:noProof/>
        </w:rPr>
        <w:t>actors affecting the profitability of Malaysian commercial banks</w:t>
      </w:r>
      <w:r>
        <w:rPr>
          <w:noProof/>
        </w:rPr>
        <w:t xml:space="preserve">. The objective of the study was </w:t>
      </w:r>
      <w:r w:rsidRPr="00BB204C">
        <w:rPr>
          <w:noProof/>
        </w:rPr>
        <w:t>to investigate the impact of bank-specific characteristics and macroeconomic conditions on Malaysian commercial banks financial performance, during the period of 2003 to 2009. This study employs regression models that relate bank profitability ratios to various explanatory variables. There are three ratios which represent profitability measures are return on assets (ROA), return on equity (ROE) and net non-interest margin (NIM). Seven va</w:t>
      </w:r>
      <w:r>
        <w:rPr>
          <w:noProof/>
        </w:rPr>
        <w:t>riables were</w:t>
      </w:r>
      <w:r w:rsidRPr="00BB204C">
        <w:rPr>
          <w:noProof/>
        </w:rPr>
        <w:t xml:space="preserve"> drawn from the conventional banking literature as proxies for bank-specific and macroeconomic factors. Results of this study indicated that ROA is the best profitability measures. </w:t>
      </w:r>
    </w:p>
    <w:p w14:paraId="055A1B13" w14:textId="77777777" w:rsidR="00E62866" w:rsidRDefault="00E62866" w:rsidP="00E62866">
      <w:pPr>
        <w:spacing w:line="240" w:lineRule="auto"/>
        <w:jc w:val="both"/>
        <w:rPr>
          <w:bCs/>
        </w:rPr>
      </w:pPr>
      <w:r>
        <w:rPr>
          <w:noProof/>
        </w:rPr>
        <w:t>Brunilda and Elvana (</w:t>
      </w:r>
      <w:r w:rsidRPr="00F57BC7">
        <w:rPr>
          <w:noProof/>
        </w:rPr>
        <w:t>2015)</w:t>
      </w:r>
      <w:r>
        <w:rPr>
          <w:noProof/>
        </w:rPr>
        <w:t xml:space="preserve"> analyzed </w:t>
      </w:r>
      <w:r w:rsidRPr="00F57BC7">
        <w:rPr>
          <w:bCs/>
        </w:rPr>
        <w:t>factors influencing the bank profitability in Albania</w:t>
      </w:r>
      <w:r>
        <w:rPr>
          <w:bCs/>
        </w:rPr>
        <w:t>. The primary objective was</w:t>
      </w:r>
      <w:r w:rsidRPr="00F57BC7">
        <w:rPr>
          <w:bCs/>
        </w:rPr>
        <w:t xml:space="preserve"> to investigate the determinants of the profitability and to present all the debates through the literature review on the profitability. On the other hand internal factors of the banks influencing in the profitabil</w:t>
      </w:r>
      <w:r>
        <w:rPr>
          <w:bCs/>
        </w:rPr>
        <w:t>ity were</w:t>
      </w:r>
      <w:r w:rsidRPr="00F57BC7">
        <w:rPr>
          <w:bCs/>
        </w:rPr>
        <w:t xml:space="preserve"> analyzed. An important element of the macro-prudential analysis is the evidence of the internal and external factors and their relationship to the profitability of the banking sector and how this relationship is affected by institutional and structural characteristics. </w:t>
      </w:r>
      <w:r>
        <w:rPr>
          <w:bCs/>
        </w:rPr>
        <w:t xml:space="preserve"> The results showed</w:t>
      </w:r>
      <w:r w:rsidRPr="00F57BC7">
        <w:rPr>
          <w:bCs/>
        </w:rPr>
        <w:t xml:space="preserve"> that almost all the factors were significant, whereas the sign of the relationship between the dependent</w:t>
      </w:r>
      <w:r>
        <w:rPr>
          <w:bCs/>
        </w:rPr>
        <w:t xml:space="preserve"> and the independent variable was</w:t>
      </w:r>
      <w:r w:rsidRPr="00F57BC7">
        <w:rPr>
          <w:bCs/>
        </w:rPr>
        <w:t xml:space="preserve"> explained</w:t>
      </w:r>
      <w:r>
        <w:rPr>
          <w:bCs/>
        </w:rPr>
        <w:t>.</w:t>
      </w:r>
    </w:p>
    <w:p w14:paraId="6CCD4B0B" w14:textId="77777777" w:rsidR="00E62866" w:rsidRDefault="00E62866" w:rsidP="00E62866">
      <w:pPr>
        <w:spacing w:line="240" w:lineRule="auto"/>
        <w:jc w:val="both"/>
        <w:rPr>
          <w:noProof/>
        </w:rPr>
      </w:pPr>
      <w:r>
        <w:rPr>
          <w:noProof/>
        </w:rPr>
        <w:t>Christos and  Geoffrey (</w:t>
      </w:r>
      <w:r w:rsidRPr="00F57BC7">
        <w:rPr>
          <w:noProof/>
        </w:rPr>
        <w:t>2014)</w:t>
      </w:r>
      <w:r>
        <w:rPr>
          <w:noProof/>
        </w:rPr>
        <w:t xml:space="preserve"> analyzed </w:t>
      </w:r>
      <w:r w:rsidRPr="00F57BC7">
        <w:rPr>
          <w:noProof/>
        </w:rPr>
        <w:t>the determinants of european bank profitability</w:t>
      </w:r>
      <w:r>
        <w:rPr>
          <w:noProof/>
        </w:rPr>
        <w:t xml:space="preserve"> in European commercial banks. The objectve of the study was to review the </w:t>
      </w:r>
      <w:r w:rsidRPr="00F57BC7">
        <w:rPr>
          <w:noProof/>
        </w:rPr>
        <w:t>literature on bank performance studies and classifies the b</w:t>
      </w:r>
      <w:r>
        <w:rPr>
          <w:noProof/>
        </w:rPr>
        <w:t>ank profitability determinants. They</w:t>
      </w:r>
      <w:r w:rsidRPr="00F57BC7">
        <w:rPr>
          <w:noProof/>
        </w:rPr>
        <w:t xml:space="preserve"> construct</w:t>
      </w:r>
      <w:r>
        <w:rPr>
          <w:noProof/>
        </w:rPr>
        <w:t>ed</w:t>
      </w:r>
      <w:r w:rsidRPr="00F57BC7">
        <w:rPr>
          <w:noProof/>
        </w:rPr>
        <w:t xml:space="preserve"> O</w:t>
      </w:r>
      <w:r>
        <w:rPr>
          <w:noProof/>
        </w:rPr>
        <w:t xml:space="preserve">rdinal </w:t>
      </w:r>
      <w:r w:rsidRPr="00F57BC7">
        <w:rPr>
          <w:noProof/>
        </w:rPr>
        <w:t>L</w:t>
      </w:r>
      <w:r>
        <w:rPr>
          <w:noProof/>
        </w:rPr>
        <w:t xml:space="preserve">east </w:t>
      </w:r>
      <w:r w:rsidRPr="00F57BC7">
        <w:rPr>
          <w:noProof/>
        </w:rPr>
        <w:t>S</w:t>
      </w:r>
      <w:r>
        <w:rPr>
          <w:noProof/>
        </w:rPr>
        <w:t xml:space="preserve">quares (OLS) and </w:t>
      </w:r>
      <w:r w:rsidRPr="00F57BC7">
        <w:rPr>
          <w:noProof/>
        </w:rPr>
        <w:t>fixed effects models, and the results provide</w:t>
      </w:r>
      <w:r>
        <w:rPr>
          <w:noProof/>
        </w:rPr>
        <w:t>d</w:t>
      </w:r>
      <w:r w:rsidRPr="00F57BC7">
        <w:rPr>
          <w:noProof/>
        </w:rPr>
        <w:t xml:space="preserve"> a new pe</w:t>
      </w:r>
      <w:r>
        <w:rPr>
          <w:noProof/>
        </w:rPr>
        <w:t xml:space="preserve">rspective for </w:t>
      </w:r>
      <w:r>
        <w:rPr>
          <w:noProof/>
        </w:rPr>
        <w:lastRenderedPageBreak/>
        <w:t xml:space="preserve">understanding the </w:t>
      </w:r>
      <w:r w:rsidRPr="00F57BC7">
        <w:rPr>
          <w:noProof/>
        </w:rPr>
        <w:t>impact of changes in competit</w:t>
      </w:r>
      <w:r>
        <w:rPr>
          <w:noProof/>
        </w:rPr>
        <w:t xml:space="preserve">ion on the performance of the European banking industry. The </w:t>
      </w:r>
      <w:r w:rsidRPr="00F57BC7">
        <w:rPr>
          <w:noProof/>
        </w:rPr>
        <w:t xml:space="preserve">estimation results suggest that the profitability of European banks is influenced not </w:t>
      </w:r>
      <w:r>
        <w:rPr>
          <w:noProof/>
        </w:rPr>
        <w:t xml:space="preserve">only </w:t>
      </w:r>
      <w:r w:rsidRPr="00F57BC7">
        <w:rPr>
          <w:noProof/>
        </w:rPr>
        <w:t xml:space="preserve">by factors related to their management decisions but </w:t>
      </w:r>
      <w:r>
        <w:rPr>
          <w:noProof/>
        </w:rPr>
        <w:t xml:space="preserve">also to changes in the external </w:t>
      </w:r>
      <w:r w:rsidRPr="00F57BC7">
        <w:rPr>
          <w:noProof/>
        </w:rPr>
        <w:t xml:space="preserve">macroeconomic environment. </w:t>
      </w:r>
    </w:p>
    <w:p w14:paraId="1AC4C61B" w14:textId="77777777" w:rsidR="00E62866" w:rsidRPr="00273040" w:rsidRDefault="00E62866" w:rsidP="00E62866">
      <w:pPr>
        <w:spacing w:line="240" w:lineRule="auto"/>
        <w:jc w:val="both"/>
        <w:rPr>
          <w:noProof/>
        </w:rPr>
      </w:pPr>
      <w:r>
        <w:rPr>
          <w:noProof/>
        </w:rPr>
        <w:t>Fisseha (</w:t>
      </w:r>
      <w:r w:rsidRPr="00273040">
        <w:rPr>
          <w:noProof/>
        </w:rPr>
        <w:t>2015)</w:t>
      </w:r>
      <w:r>
        <w:rPr>
          <w:noProof/>
        </w:rPr>
        <w:t xml:space="preserve"> study  focused </w:t>
      </w:r>
      <w:r w:rsidRPr="00487D10">
        <w:rPr>
          <w:noProof/>
        </w:rPr>
        <w:t>meta analysis on the determinants of commercial bank’s profitability</w:t>
      </w:r>
      <w:r>
        <w:rPr>
          <w:noProof/>
        </w:rPr>
        <w:t xml:space="preserve">in India. The purpose of the study was to review the determinants of </w:t>
      </w:r>
      <w:r w:rsidRPr="00273040">
        <w:rPr>
          <w:noProof/>
        </w:rPr>
        <w:t>commercial banks’ profitability and to co</w:t>
      </w:r>
      <w:r>
        <w:rPr>
          <w:noProof/>
        </w:rPr>
        <w:t xml:space="preserve">mpare or combine results across </w:t>
      </w:r>
      <w:r w:rsidRPr="00273040">
        <w:rPr>
          <w:noProof/>
        </w:rPr>
        <w:t xml:space="preserve">sets of similar studies and contrasting the </w:t>
      </w:r>
      <w:r>
        <w:rPr>
          <w:noProof/>
        </w:rPr>
        <w:t xml:space="preserve">significant deviations in those </w:t>
      </w:r>
      <w:r w:rsidRPr="00273040">
        <w:rPr>
          <w:noProof/>
        </w:rPr>
        <w:t>findings by different scholars and to suggest a comprehensive model that</w:t>
      </w:r>
      <w:r>
        <w:rPr>
          <w:noProof/>
        </w:rPr>
        <w:t xml:space="preserve"> </w:t>
      </w:r>
      <w:r w:rsidRPr="00273040">
        <w:rPr>
          <w:noProof/>
        </w:rPr>
        <w:t>incorporates macroeconomic, industry-specific and bank-specific</w:t>
      </w:r>
    </w:p>
    <w:p w14:paraId="09F0BCDF" w14:textId="77777777" w:rsidR="00E62866" w:rsidRPr="00F57BC7" w:rsidRDefault="00E62866" w:rsidP="00E62866">
      <w:pPr>
        <w:spacing w:line="240" w:lineRule="auto"/>
        <w:jc w:val="both"/>
        <w:rPr>
          <w:noProof/>
        </w:rPr>
      </w:pPr>
      <w:r w:rsidRPr="00273040">
        <w:rPr>
          <w:noProof/>
        </w:rPr>
        <w:t>determinants of commercial banks profitabili</w:t>
      </w:r>
      <w:r>
        <w:rPr>
          <w:noProof/>
        </w:rPr>
        <w:t>ty. To achieve these objectives the study</w:t>
      </w:r>
      <w:r w:rsidRPr="00273040">
        <w:rPr>
          <w:noProof/>
        </w:rPr>
        <w:t xml:space="preserve"> has been designed to gleaned</w:t>
      </w:r>
      <w:r>
        <w:rPr>
          <w:noProof/>
        </w:rPr>
        <w:t xml:space="preserve"> data from various national and </w:t>
      </w:r>
      <w:r w:rsidRPr="00273040">
        <w:rPr>
          <w:noProof/>
        </w:rPr>
        <w:t>international journal articles together with the</w:t>
      </w:r>
      <w:r>
        <w:rPr>
          <w:noProof/>
        </w:rPr>
        <w:t xml:space="preserve"> basic theories relating to the </w:t>
      </w:r>
      <w:r w:rsidRPr="00273040">
        <w:rPr>
          <w:noProof/>
        </w:rPr>
        <w:t>determinants of commercial bank’s profitabili</w:t>
      </w:r>
      <w:r>
        <w:rPr>
          <w:noProof/>
        </w:rPr>
        <w:t xml:space="preserve">ty irrespective of countries or </w:t>
      </w:r>
      <w:r w:rsidRPr="00273040">
        <w:rPr>
          <w:noProof/>
        </w:rPr>
        <w:t>economic level in which the banks are</w:t>
      </w:r>
      <w:r>
        <w:rPr>
          <w:noProof/>
        </w:rPr>
        <w:t xml:space="preserve"> operating.  </w:t>
      </w:r>
      <w:r w:rsidRPr="00487D10">
        <w:rPr>
          <w:noProof/>
        </w:rPr>
        <w:t>While the results on bank specifi</w:t>
      </w:r>
      <w:r>
        <w:rPr>
          <w:noProof/>
        </w:rPr>
        <w:t xml:space="preserve">c and macroeconomic factors are </w:t>
      </w:r>
      <w:r w:rsidRPr="00487D10">
        <w:rPr>
          <w:noProof/>
        </w:rPr>
        <w:t>explicit and point to one directional effect t</w:t>
      </w:r>
      <w:r>
        <w:rPr>
          <w:noProof/>
        </w:rPr>
        <w:t xml:space="preserve">o bank performance, the results </w:t>
      </w:r>
      <w:r w:rsidRPr="00487D10">
        <w:rPr>
          <w:noProof/>
        </w:rPr>
        <w:t>on the impact of industry specific fa</w:t>
      </w:r>
      <w:r>
        <w:rPr>
          <w:noProof/>
        </w:rPr>
        <w:t xml:space="preserve">ctors are mix and in most cases </w:t>
      </w:r>
      <w:r w:rsidRPr="00487D10">
        <w:rPr>
          <w:noProof/>
        </w:rPr>
        <w:t>insignificant to explain the behaviour of banks.</w:t>
      </w:r>
    </w:p>
    <w:p w14:paraId="738A804A" w14:textId="77777777" w:rsidR="00E62866" w:rsidRPr="00F848DF" w:rsidRDefault="00E62866" w:rsidP="00E62866">
      <w:pPr>
        <w:spacing w:line="240" w:lineRule="auto"/>
        <w:jc w:val="both"/>
        <w:rPr>
          <w:noProof/>
        </w:rPr>
      </w:pPr>
      <w:r>
        <w:rPr>
          <w:noProof/>
        </w:rPr>
        <w:t>Ines and  Sonia (</w:t>
      </w:r>
      <w:r w:rsidRPr="00F848DF">
        <w:rPr>
          <w:noProof/>
        </w:rPr>
        <w:t>2013)</w:t>
      </w:r>
      <w:r>
        <w:rPr>
          <w:noProof/>
        </w:rPr>
        <w:t xml:space="preserve"> carried out a study related to </w:t>
      </w:r>
      <w:r w:rsidRPr="00F848DF">
        <w:rPr>
          <w:noProof/>
        </w:rPr>
        <w:t xml:space="preserve">explanatory factors of </w:t>
      </w:r>
      <w:r>
        <w:rPr>
          <w:noProof/>
        </w:rPr>
        <w:t>bank performance in T</w:t>
      </w:r>
      <w:r w:rsidRPr="00F848DF">
        <w:rPr>
          <w:noProof/>
        </w:rPr>
        <w:t>unisia</w:t>
      </w:r>
      <w:r>
        <w:rPr>
          <w:noProof/>
        </w:rPr>
        <w:t xml:space="preserve">. </w:t>
      </w:r>
      <w:r w:rsidRPr="00F848DF">
        <w:rPr>
          <w:noProof/>
        </w:rPr>
        <w:t xml:space="preserve">Using the </w:t>
      </w:r>
      <w:r>
        <w:rPr>
          <w:noProof/>
        </w:rPr>
        <w:t>Generalized Method o</w:t>
      </w:r>
      <w:r w:rsidRPr="00F848DF">
        <w:rPr>
          <w:noProof/>
        </w:rPr>
        <w:t xml:space="preserve">f Moments </w:t>
      </w:r>
      <w:r>
        <w:rPr>
          <w:noProof/>
        </w:rPr>
        <w:t>(</w:t>
      </w:r>
      <w:r w:rsidRPr="00F848DF">
        <w:rPr>
          <w:noProof/>
        </w:rPr>
        <w:t>GMM</w:t>
      </w:r>
      <w:r>
        <w:rPr>
          <w:noProof/>
        </w:rPr>
        <w:t>)</w:t>
      </w:r>
      <w:r w:rsidRPr="00F848DF">
        <w:rPr>
          <w:noProof/>
        </w:rPr>
        <w:t xml:space="preserve"> estimator technique described by Blundell and Bond (1998), </w:t>
      </w:r>
      <w:r>
        <w:rPr>
          <w:noProof/>
        </w:rPr>
        <w:t xml:space="preserve">they identified factors explaining </w:t>
      </w:r>
      <w:r w:rsidRPr="00F848DF">
        <w:rPr>
          <w:noProof/>
        </w:rPr>
        <w:t>Tunisian bank performance. Retaining the main 10 commercial Tunisian banks du</w:t>
      </w:r>
      <w:r>
        <w:rPr>
          <w:noProof/>
        </w:rPr>
        <w:t xml:space="preserve">ring the 1998 to 2011 period, they </w:t>
      </w:r>
      <w:r w:rsidRPr="00F848DF">
        <w:rPr>
          <w:noProof/>
        </w:rPr>
        <w:t>examine</w:t>
      </w:r>
      <w:r>
        <w:rPr>
          <w:noProof/>
        </w:rPr>
        <w:t>d</w:t>
      </w:r>
      <w:r w:rsidRPr="00F848DF">
        <w:rPr>
          <w:noProof/>
        </w:rPr>
        <w:t xml:space="preserve"> whether, for banks operating in similar macroeconomic and financial develop</w:t>
      </w:r>
      <w:r>
        <w:rPr>
          <w:noProof/>
        </w:rPr>
        <w:t xml:space="preserve">ment environments, one can make </w:t>
      </w:r>
      <w:r w:rsidRPr="00F848DF">
        <w:rPr>
          <w:noProof/>
        </w:rPr>
        <w:t>judgments concerning the success of their competitive strategies and other manageri</w:t>
      </w:r>
      <w:r>
        <w:rPr>
          <w:noProof/>
        </w:rPr>
        <w:t xml:space="preserve">al procedure by using different </w:t>
      </w:r>
      <w:r w:rsidRPr="00F848DF">
        <w:rPr>
          <w:noProof/>
        </w:rPr>
        <w:t xml:space="preserve">profitability measures. </w:t>
      </w:r>
      <w:r>
        <w:rPr>
          <w:noProof/>
        </w:rPr>
        <w:t xml:space="preserve"> </w:t>
      </w:r>
      <w:r w:rsidRPr="00F848DF">
        <w:rPr>
          <w:noProof/>
        </w:rPr>
        <w:t>The empirical results reveal</w:t>
      </w:r>
      <w:r>
        <w:rPr>
          <w:noProof/>
        </w:rPr>
        <w:t>ed</w:t>
      </w:r>
      <w:r w:rsidRPr="00F848DF">
        <w:rPr>
          <w:noProof/>
        </w:rPr>
        <w:t xml:space="preserve"> a high degree of persistence of bank per</w:t>
      </w:r>
      <w:r>
        <w:rPr>
          <w:noProof/>
        </w:rPr>
        <w:t xml:space="preserve">formance. By the other hand, the findings suggested that </w:t>
      </w:r>
      <w:r w:rsidRPr="00F848DF">
        <w:rPr>
          <w:noProof/>
        </w:rPr>
        <w:t>the bank capitalization, as well as the best managerial efficiency, have a positive and</w:t>
      </w:r>
      <w:r>
        <w:rPr>
          <w:noProof/>
        </w:rPr>
        <w:t xml:space="preserve"> significant effect on the bank </w:t>
      </w:r>
      <w:r w:rsidRPr="00F848DF">
        <w:rPr>
          <w:noProof/>
        </w:rPr>
        <w:t xml:space="preserve">performance. Private owned banks seem to be more profitable than state owned ones. </w:t>
      </w:r>
      <w:r>
        <w:rPr>
          <w:noProof/>
        </w:rPr>
        <w:t xml:space="preserve"> </w:t>
      </w:r>
      <w:r w:rsidRPr="00F848DF">
        <w:rPr>
          <w:noProof/>
        </w:rPr>
        <w:t>However Inflation seems to affect negatively bank’s net interest margin.</w:t>
      </w:r>
      <w:r>
        <w:rPr>
          <w:noProof/>
        </w:rPr>
        <w:t xml:space="preserve"> </w:t>
      </w:r>
    </w:p>
    <w:p w14:paraId="23688973" w14:textId="77777777" w:rsidR="00E62866" w:rsidRDefault="00E62866" w:rsidP="00E62866">
      <w:pPr>
        <w:spacing w:line="240" w:lineRule="auto"/>
        <w:jc w:val="both"/>
        <w:rPr>
          <w:noProof/>
        </w:rPr>
      </w:pPr>
      <w:r w:rsidRPr="00F848DF">
        <w:rPr>
          <w:noProof/>
        </w:rPr>
        <w:t>Ayanda et al. (2013) examined pr</w:t>
      </w:r>
      <w:r>
        <w:rPr>
          <w:noProof/>
        </w:rPr>
        <w:t xml:space="preserve">ofitability determinants in the </w:t>
      </w:r>
      <w:r w:rsidRPr="00F848DF">
        <w:rPr>
          <w:noProof/>
        </w:rPr>
        <w:t>banking sector of the Nigerian economy, Firs</w:t>
      </w:r>
      <w:r>
        <w:rPr>
          <w:noProof/>
        </w:rPr>
        <w:t xml:space="preserve">t Bank of Nigeria Plc only as a </w:t>
      </w:r>
      <w:r w:rsidRPr="00F848DF">
        <w:rPr>
          <w:noProof/>
        </w:rPr>
        <w:t>case study. Results revealed that contrary</w:t>
      </w:r>
      <w:r>
        <w:rPr>
          <w:noProof/>
        </w:rPr>
        <w:t xml:space="preserve"> to views of some authors, bank </w:t>
      </w:r>
      <w:r w:rsidRPr="00F848DF">
        <w:rPr>
          <w:noProof/>
        </w:rPr>
        <w:t xml:space="preserve">size </w:t>
      </w:r>
      <w:r>
        <w:rPr>
          <w:noProof/>
        </w:rPr>
        <w:t xml:space="preserve">and cost </w:t>
      </w:r>
      <w:r w:rsidRPr="00F848DF">
        <w:rPr>
          <w:noProof/>
        </w:rPr>
        <w:t>efficiency did not significantly determine</w:t>
      </w:r>
      <w:r>
        <w:rPr>
          <w:noProof/>
        </w:rPr>
        <w:t xml:space="preserve"> bank profitability in Nigeria. </w:t>
      </w:r>
      <w:r w:rsidRPr="00F848DF">
        <w:rPr>
          <w:noProof/>
        </w:rPr>
        <w:t xml:space="preserve">However, credit risk </w:t>
      </w:r>
      <w:r>
        <w:rPr>
          <w:noProof/>
        </w:rPr>
        <w:t xml:space="preserve"> and capital </w:t>
      </w:r>
      <w:r w:rsidRPr="00F848DF">
        <w:rPr>
          <w:noProof/>
        </w:rPr>
        <w:t xml:space="preserve">adequacy were found </w:t>
      </w:r>
      <w:r>
        <w:rPr>
          <w:noProof/>
        </w:rPr>
        <w:t xml:space="preserve">to be significant drivers which </w:t>
      </w:r>
      <w:r w:rsidRPr="00F848DF">
        <w:rPr>
          <w:noProof/>
        </w:rPr>
        <w:t xml:space="preserve">affected bank profitability both in the long </w:t>
      </w:r>
      <w:r>
        <w:rPr>
          <w:noProof/>
        </w:rPr>
        <w:t xml:space="preserve">run and short run respectively. </w:t>
      </w:r>
      <w:r w:rsidRPr="00F848DF">
        <w:rPr>
          <w:noProof/>
        </w:rPr>
        <w:t>Also, while Liquidity affected bank p</w:t>
      </w:r>
      <w:r>
        <w:rPr>
          <w:noProof/>
        </w:rPr>
        <w:t xml:space="preserve">rofitability in the short run, labour efficiency  </w:t>
      </w:r>
      <w:r w:rsidRPr="00F848DF">
        <w:rPr>
          <w:noProof/>
        </w:rPr>
        <w:t xml:space="preserve">affected bank profitability in the long </w:t>
      </w:r>
      <w:r>
        <w:rPr>
          <w:noProof/>
        </w:rPr>
        <w:t xml:space="preserve">run. But as for the external or </w:t>
      </w:r>
      <w:r w:rsidRPr="00F848DF">
        <w:rPr>
          <w:noProof/>
        </w:rPr>
        <w:t>macroeconomic variables which deter</w:t>
      </w:r>
      <w:r>
        <w:rPr>
          <w:noProof/>
        </w:rPr>
        <w:t xml:space="preserve">mined bank profitability, it is </w:t>
      </w:r>
      <w:r w:rsidRPr="00F848DF">
        <w:rPr>
          <w:noProof/>
        </w:rPr>
        <w:t xml:space="preserve">suggested that only broad money supply </w:t>
      </w:r>
      <w:r>
        <w:rPr>
          <w:noProof/>
        </w:rPr>
        <w:t xml:space="preserve">growth rate was found to be a </w:t>
      </w:r>
      <w:r w:rsidRPr="00F848DF">
        <w:rPr>
          <w:noProof/>
        </w:rPr>
        <w:t>significant driver both in the long run and in the short run.</w:t>
      </w:r>
    </w:p>
    <w:p w14:paraId="7C6DD046" w14:textId="77777777" w:rsidR="00E62866" w:rsidRPr="00F848DF" w:rsidRDefault="00E62866" w:rsidP="00E62866">
      <w:pPr>
        <w:spacing w:line="240" w:lineRule="auto"/>
        <w:jc w:val="both"/>
        <w:rPr>
          <w:noProof/>
        </w:rPr>
      </w:pPr>
      <w:r w:rsidRPr="00F848DF">
        <w:rPr>
          <w:noProof/>
        </w:rPr>
        <w:t>Another study on the determin</w:t>
      </w:r>
      <w:r>
        <w:rPr>
          <w:noProof/>
        </w:rPr>
        <w:t xml:space="preserve">ants of profitability of listed </w:t>
      </w:r>
      <w:r w:rsidRPr="00F848DF">
        <w:rPr>
          <w:noProof/>
        </w:rPr>
        <w:t xml:space="preserve">commercial banks in developing countries </w:t>
      </w:r>
      <w:r>
        <w:rPr>
          <w:noProof/>
        </w:rPr>
        <w:t xml:space="preserve">specifically focusing on Malawi </w:t>
      </w:r>
      <w:r w:rsidRPr="00F848DF">
        <w:rPr>
          <w:noProof/>
        </w:rPr>
        <w:t>during the period 2009-2012 using inter</w:t>
      </w:r>
      <w:r>
        <w:rPr>
          <w:noProof/>
        </w:rPr>
        <w:t xml:space="preserve">nal-based and external </w:t>
      </w:r>
      <w:r w:rsidRPr="00F848DF">
        <w:rPr>
          <w:noProof/>
        </w:rPr>
        <w:t>based profitability measurements by Lipunga (2014), employed correlation</w:t>
      </w:r>
    </w:p>
    <w:p w14:paraId="1BDC02EB" w14:textId="77777777" w:rsidR="00E62866" w:rsidRDefault="00E62866" w:rsidP="00E62866">
      <w:pPr>
        <w:spacing w:line="240" w:lineRule="auto"/>
        <w:jc w:val="both"/>
        <w:rPr>
          <w:noProof/>
        </w:rPr>
      </w:pPr>
      <w:r w:rsidRPr="00F848DF">
        <w:rPr>
          <w:noProof/>
        </w:rPr>
        <w:t>and multivariate regression analysis. Retu</w:t>
      </w:r>
      <w:r>
        <w:rPr>
          <w:noProof/>
        </w:rPr>
        <w:t xml:space="preserve">rn on Assets (ROA) and Earnings </w:t>
      </w:r>
      <w:r w:rsidRPr="00F848DF">
        <w:rPr>
          <w:noProof/>
        </w:rPr>
        <w:t>Yield (EY) are used as proxies of inte</w:t>
      </w:r>
      <w:r>
        <w:rPr>
          <w:noProof/>
        </w:rPr>
        <w:t xml:space="preserve">rnal and external profitability </w:t>
      </w:r>
      <w:r w:rsidRPr="00F848DF">
        <w:rPr>
          <w:noProof/>
        </w:rPr>
        <w:t xml:space="preserve">respectively. The results of the regression analysis suggest that bank </w:t>
      </w:r>
      <w:r>
        <w:rPr>
          <w:noProof/>
        </w:rPr>
        <w:t xml:space="preserve">size, </w:t>
      </w:r>
      <w:r w:rsidRPr="00F848DF">
        <w:rPr>
          <w:noProof/>
        </w:rPr>
        <w:t>liquidity and management efficiency have a s</w:t>
      </w:r>
      <w:r>
        <w:rPr>
          <w:noProof/>
        </w:rPr>
        <w:t xml:space="preserve">tatistically significant impact </w:t>
      </w:r>
      <w:r w:rsidRPr="00F848DF">
        <w:rPr>
          <w:noProof/>
        </w:rPr>
        <w:lastRenderedPageBreak/>
        <w:t>on ROA however capital adequacy has ins</w:t>
      </w:r>
      <w:r>
        <w:rPr>
          <w:noProof/>
        </w:rPr>
        <w:t xml:space="preserve">ignificant effect. On the other </w:t>
      </w:r>
      <w:r w:rsidRPr="00F848DF">
        <w:rPr>
          <w:noProof/>
        </w:rPr>
        <w:t>hand results suggest</w:t>
      </w:r>
      <w:r>
        <w:rPr>
          <w:noProof/>
        </w:rPr>
        <w:t>ed</w:t>
      </w:r>
      <w:r w:rsidRPr="00F848DF">
        <w:rPr>
          <w:noProof/>
        </w:rPr>
        <w:t xml:space="preserve"> that earnings yield is s</w:t>
      </w:r>
      <w:r>
        <w:rPr>
          <w:noProof/>
        </w:rPr>
        <w:t xml:space="preserve">ignificantly influenced by bank </w:t>
      </w:r>
      <w:r w:rsidRPr="00F848DF">
        <w:rPr>
          <w:noProof/>
        </w:rPr>
        <w:t>size, capital adequacy and management efficie</w:t>
      </w:r>
      <w:r>
        <w:rPr>
          <w:noProof/>
        </w:rPr>
        <w:t xml:space="preserve">ncy, whereas liquidity is found </w:t>
      </w:r>
      <w:r w:rsidRPr="00F848DF">
        <w:rPr>
          <w:noProof/>
        </w:rPr>
        <w:t>to have insignificant influence on Earnings yield.</w:t>
      </w:r>
    </w:p>
    <w:p w14:paraId="6268C404" w14:textId="77777777" w:rsidR="00E62866" w:rsidRPr="00F848DF" w:rsidRDefault="00E62866" w:rsidP="00E62866">
      <w:pPr>
        <w:spacing w:line="240" w:lineRule="auto"/>
        <w:jc w:val="both"/>
        <w:rPr>
          <w:noProof/>
        </w:rPr>
      </w:pPr>
      <w:r w:rsidRPr="00F848DF">
        <w:rPr>
          <w:noProof/>
        </w:rPr>
        <w:t>Francis (2013) using an unbalance</w:t>
      </w:r>
      <w:r>
        <w:rPr>
          <w:noProof/>
        </w:rPr>
        <w:t>d panel of 216 commercial banks drawn from 42 countries in S</w:t>
      </w:r>
      <w:r w:rsidRPr="00F848DF">
        <w:rPr>
          <w:noProof/>
        </w:rPr>
        <w:t>ub-Saharan Afri</w:t>
      </w:r>
      <w:r>
        <w:rPr>
          <w:noProof/>
        </w:rPr>
        <w:t xml:space="preserve">ca (SSA) for the period 1999 to </w:t>
      </w:r>
      <w:r w:rsidRPr="00F848DF">
        <w:rPr>
          <w:noProof/>
        </w:rPr>
        <w:t>2006, by applying the</w:t>
      </w:r>
      <w:r>
        <w:rPr>
          <w:noProof/>
        </w:rPr>
        <w:t xml:space="preserve"> cost efficiency model, suggested  that the explanatory </w:t>
      </w:r>
      <w:r w:rsidRPr="00F848DF">
        <w:rPr>
          <w:noProof/>
        </w:rPr>
        <w:t>variables are growth in bank assets, g</w:t>
      </w:r>
      <w:r>
        <w:rPr>
          <w:noProof/>
        </w:rPr>
        <w:t xml:space="preserve">rowth in bank deposits, capital </w:t>
      </w:r>
      <w:r w:rsidRPr="00F848DF">
        <w:rPr>
          <w:noProof/>
        </w:rPr>
        <w:t>adequacy, operational efficiency (inefficiency),</w:t>
      </w:r>
      <w:r>
        <w:rPr>
          <w:noProof/>
        </w:rPr>
        <w:t xml:space="preserve"> and liquidity ratio as well as </w:t>
      </w:r>
      <w:r w:rsidRPr="00F848DF">
        <w:rPr>
          <w:noProof/>
        </w:rPr>
        <w:t xml:space="preserve">the macroeconomic variables of growth in </w:t>
      </w:r>
      <w:r>
        <w:rPr>
          <w:noProof/>
        </w:rPr>
        <w:t xml:space="preserve">GDP and inflation. The findings </w:t>
      </w:r>
      <w:r w:rsidRPr="00F848DF">
        <w:rPr>
          <w:noProof/>
        </w:rPr>
        <w:t>clearly show</w:t>
      </w:r>
      <w:r>
        <w:rPr>
          <w:noProof/>
        </w:rPr>
        <w:t>ed</w:t>
      </w:r>
      <w:r w:rsidRPr="00F848DF">
        <w:rPr>
          <w:noProof/>
        </w:rPr>
        <w:t xml:space="preserve"> that both bank-specific a</w:t>
      </w:r>
      <w:r>
        <w:rPr>
          <w:noProof/>
        </w:rPr>
        <w:t xml:space="preserve">s well as macroeconomic factors </w:t>
      </w:r>
      <w:r w:rsidRPr="00F848DF">
        <w:rPr>
          <w:noProof/>
        </w:rPr>
        <w:t>explain the variation in commercial bank prof</w:t>
      </w:r>
      <w:r>
        <w:rPr>
          <w:noProof/>
        </w:rPr>
        <w:t xml:space="preserve">itability over the study period </w:t>
      </w:r>
      <w:r w:rsidRPr="00F848DF">
        <w:rPr>
          <w:noProof/>
        </w:rPr>
        <w:t>and findings demonstrate</w:t>
      </w:r>
      <w:r>
        <w:rPr>
          <w:noProof/>
        </w:rPr>
        <w:t>d</w:t>
      </w:r>
      <w:r w:rsidRPr="00F848DF">
        <w:rPr>
          <w:noProof/>
        </w:rPr>
        <w:t xml:space="preserve"> the importanc</w:t>
      </w:r>
      <w:r>
        <w:rPr>
          <w:noProof/>
        </w:rPr>
        <w:t xml:space="preserve">e of both bank level as well as </w:t>
      </w:r>
      <w:r w:rsidRPr="00F848DF">
        <w:rPr>
          <w:noProof/>
        </w:rPr>
        <w:t>macroeconomic factors in explaining commercial bank profitability in Sub-</w:t>
      </w:r>
    </w:p>
    <w:p w14:paraId="6834B4B4" w14:textId="77777777" w:rsidR="00E62866" w:rsidRDefault="00E62866" w:rsidP="00E62866">
      <w:pPr>
        <w:spacing w:line="240" w:lineRule="auto"/>
        <w:jc w:val="both"/>
        <w:rPr>
          <w:noProof/>
        </w:rPr>
      </w:pPr>
      <w:r>
        <w:rPr>
          <w:noProof/>
        </w:rPr>
        <w:t>Saharan Africa.</w:t>
      </w:r>
    </w:p>
    <w:p w14:paraId="490542C5" w14:textId="77777777" w:rsidR="00E62866" w:rsidRDefault="00E62866" w:rsidP="00E62866">
      <w:pPr>
        <w:spacing w:line="240" w:lineRule="auto"/>
        <w:jc w:val="both"/>
        <w:rPr>
          <w:noProof/>
        </w:rPr>
      </w:pPr>
      <w:r>
        <w:rPr>
          <w:noProof/>
        </w:rPr>
        <w:t>Vincent and Gemechu (</w:t>
      </w:r>
      <w:r w:rsidRPr="005111AE">
        <w:rPr>
          <w:noProof/>
        </w:rPr>
        <w:t>2013)</w:t>
      </w:r>
      <w:r>
        <w:rPr>
          <w:noProof/>
        </w:rPr>
        <w:t xml:space="preserve"> analyzed d</w:t>
      </w:r>
      <w:r w:rsidRPr="005111AE">
        <w:rPr>
          <w:noProof/>
        </w:rPr>
        <w:t>eterminants of finan</w:t>
      </w:r>
      <w:r>
        <w:rPr>
          <w:noProof/>
        </w:rPr>
        <w:t>cial performance of commercial B</w:t>
      </w:r>
      <w:r w:rsidRPr="005111AE">
        <w:rPr>
          <w:noProof/>
        </w:rPr>
        <w:t>anks in Kenya</w:t>
      </w:r>
      <w:r>
        <w:rPr>
          <w:noProof/>
        </w:rPr>
        <w:t>.  T</w:t>
      </w:r>
      <w:r w:rsidRPr="005111AE">
        <w:rPr>
          <w:noProof/>
        </w:rPr>
        <w:t>he authors used linear multiple regression model and</w:t>
      </w:r>
      <w:r>
        <w:rPr>
          <w:noProof/>
        </w:rPr>
        <w:t xml:space="preserve"> </w:t>
      </w:r>
      <w:r w:rsidRPr="005111AE">
        <w:rPr>
          <w:noProof/>
        </w:rPr>
        <w:t>Generalized Least Square on panel data to estimate the parameters. The findings showed that bank</w:t>
      </w:r>
      <w:r>
        <w:rPr>
          <w:noProof/>
        </w:rPr>
        <w:t xml:space="preserve"> </w:t>
      </w:r>
      <w:r w:rsidRPr="005111AE">
        <w:rPr>
          <w:noProof/>
        </w:rPr>
        <w:t>specific factors significantly affect the performance of commercial banks in Kenya, except for</w:t>
      </w:r>
      <w:r>
        <w:rPr>
          <w:noProof/>
        </w:rPr>
        <w:t xml:space="preserve"> </w:t>
      </w:r>
      <w:r w:rsidRPr="005111AE">
        <w:rPr>
          <w:noProof/>
        </w:rPr>
        <w:t xml:space="preserve">liquidity variable. </w:t>
      </w:r>
    </w:p>
    <w:p w14:paraId="69DF5030" w14:textId="77777777" w:rsidR="00E62866" w:rsidRDefault="00E62866" w:rsidP="00E62866">
      <w:pPr>
        <w:spacing w:line="240" w:lineRule="auto"/>
        <w:jc w:val="both"/>
        <w:rPr>
          <w:noProof/>
        </w:rPr>
      </w:pPr>
      <w:r>
        <w:rPr>
          <w:noProof/>
        </w:rPr>
        <w:t>Onuonga (</w:t>
      </w:r>
      <w:r w:rsidRPr="005F1B4C">
        <w:rPr>
          <w:noProof/>
        </w:rPr>
        <w:t>2014)</w:t>
      </w:r>
      <w:r>
        <w:rPr>
          <w:noProof/>
        </w:rPr>
        <w:t xml:space="preserve"> analysed profitability of Kenya`s top six commercial banks.  The study</w:t>
      </w:r>
      <w:r w:rsidRPr="00EF52A6">
        <w:rPr>
          <w:noProof/>
        </w:rPr>
        <w:t xml:space="preserve"> aimed at investigating the impact of the internal determinants of profitability of Kenya`s top six commercial banks over </w:t>
      </w:r>
      <w:r>
        <w:rPr>
          <w:noProof/>
        </w:rPr>
        <w:t>the period 2008-2013, The study</w:t>
      </w:r>
      <w:r w:rsidRPr="00EF52A6">
        <w:rPr>
          <w:noProof/>
        </w:rPr>
        <w:t xml:space="preserve"> used generalized least squares method to estimate the impact of bank assets, capital, loans, deposits and assets quality</w:t>
      </w:r>
      <w:r>
        <w:rPr>
          <w:noProof/>
        </w:rPr>
        <w:t xml:space="preserve"> on banks profitability. The study</w:t>
      </w:r>
      <w:r w:rsidRPr="00EF52A6">
        <w:rPr>
          <w:noProof/>
        </w:rPr>
        <w:t xml:space="preserve"> used return on assets (ROA) as a measure of profitability. The findings revealed that bank size, capital strength, ownership, operations expenses, diversification do significantly influence profitability of the top six commercial banks</w:t>
      </w:r>
      <w:r>
        <w:rPr>
          <w:noProof/>
        </w:rPr>
        <w:t xml:space="preserve"> in Kenya</w:t>
      </w:r>
      <w:r w:rsidRPr="00EF52A6">
        <w:rPr>
          <w:noProof/>
        </w:rPr>
        <w:t xml:space="preserve">. </w:t>
      </w:r>
    </w:p>
    <w:p w14:paraId="37142C5C" w14:textId="77777777" w:rsidR="00E62866" w:rsidRDefault="00E62866" w:rsidP="00E62866">
      <w:pPr>
        <w:spacing w:line="240" w:lineRule="auto"/>
        <w:jc w:val="both"/>
        <w:rPr>
          <w:noProof/>
        </w:rPr>
      </w:pPr>
      <w:r w:rsidRPr="00F848DF">
        <w:rPr>
          <w:noProof/>
        </w:rPr>
        <w:t>Kiganda (2014) sugge</w:t>
      </w:r>
      <w:r>
        <w:rPr>
          <w:noProof/>
        </w:rPr>
        <w:t xml:space="preserve">sted that macroeconomic factors </w:t>
      </w:r>
      <w:r w:rsidRPr="00F848DF">
        <w:rPr>
          <w:noProof/>
        </w:rPr>
        <w:t>(real GDP, inflation and exchange rate) ha</w:t>
      </w:r>
      <w:r>
        <w:rPr>
          <w:noProof/>
        </w:rPr>
        <w:t xml:space="preserve">ve insignificant effect on bank </w:t>
      </w:r>
      <w:r w:rsidRPr="00F848DF">
        <w:rPr>
          <w:noProof/>
        </w:rPr>
        <w:t>profitability in Kenya with Equity bank in fo</w:t>
      </w:r>
      <w:r>
        <w:rPr>
          <w:noProof/>
        </w:rPr>
        <w:t xml:space="preserve">cus at 5% level of significance </w:t>
      </w:r>
      <w:r w:rsidRPr="00F848DF">
        <w:rPr>
          <w:noProof/>
        </w:rPr>
        <w:t>and concluded that macroeconomic factors do n</w:t>
      </w:r>
      <w:r>
        <w:rPr>
          <w:noProof/>
        </w:rPr>
        <w:t>ot affect bank profitability in Kenya, i</w:t>
      </w:r>
      <w:r w:rsidRPr="00F848DF">
        <w:rPr>
          <w:noProof/>
        </w:rPr>
        <w:t xml:space="preserve">mplying that internal factors </w:t>
      </w:r>
      <w:r>
        <w:rPr>
          <w:noProof/>
        </w:rPr>
        <w:t xml:space="preserve">which relate to bank management </w:t>
      </w:r>
      <w:r w:rsidRPr="00F848DF">
        <w:rPr>
          <w:noProof/>
        </w:rPr>
        <w:t xml:space="preserve">significantly determine bank profitability in Kenya. </w:t>
      </w:r>
    </w:p>
    <w:p w14:paraId="71677D81" w14:textId="77777777" w:rsidR="00E62866" w:rsidRPr="00AA2E9C" w:rsidRDefault="00E62866" w:rsidP="00E62866">
      <w:pPr>
        <w:tabs>
          <w:tab w:val="left" w:pos="3435"/>
        </w:tabs>
        <w:spacing w:after="0" w:line="240" w:lineRule="auto"/>
        <w:jc w:val="both"/>
      </w:pPr>
    </w:p>
    <w:p w14:paraId="08099C45" w14:textId="479A4E56" w:rsidR="00B9501B" w:rsidRPr="00E62866" w:rsidRDefault="004A1244" w:rsidP="00E62866">
      <w:pPr>
        <w:pStyle w:val="Heading1"/>
        <w:spacing w:line="240" w:lineRule="auto"/>
        <w:jc w:val="center"/>
        <w:rPr>
          <w:rFonts w:ascii="Times New Roman" w:hAnsi="Times New Roman"/>
        </w:rPr>
      </w:pPr>
      <w:bookmarkStart w:id="29" w:name="_Toc310871100"/>
      <w:bookmarkStart w:id="30" w:name="_Toc339792231"/>
      <w:bookmarkStart w:id="31" w:name="_Toc347217807"/>
      <w:r w:rsidRPr="00AA2E9C">
        <w:rPr>
          <w:b/>
        </w:rPr>
        <w:br w:type="page"/>
      </w:r>
      <w:bookmarkEnd w:id="29"/>
      <w:bookmarkEnd w:id="30"/>
      <w:bookmarkEnd w:id="31"/>
    </w:p>
    <w:p w14:paraId="42A949F0" w14:textId="1F0DB7A0" w:rsidR="0086447E" w:rsidRPr="00EF6959" w:rsidRDefault="00EF6959" w:rsidP="00EF6959">
      <w:pPr>
        <w:pStyle w:val="Heading1"/>
        <w:spacing w:line="240" w:lineRule="auto"/>
        <w:jc w:val="both"/>
        <w:rPr>
          <w:rFonts w:ascii="Times New Roman" w:hAnsi="Times New Roman"/>
          <w:b/>
          <w:color w:val="auto"/>
          <w:sz w:val="24"/>
          <w:szCs w:val="24"/>
        </w:rPr>
      </w:pPr>
      <w:bookmarkStart w:id="32" w:name="_Toc347217827"/>
      <w:bookmarkStart w:id="33" w:name="_Toc362776392"/>
      <w:bookmarkStart w:id="34" w:name="_Toc364441640"/>
      <w:bookmarkStart w:id="35" w:name="_Toc452487322"/>
      <w:r w:rsidRPr="00EF6959">
        <w:rPr>
          <w:rFonts w:ascii="Times New Roman" w:hAnsi="Times New Roman"/>
          <w:b/>
          <w:color w:val="auto"/>
          <w:sz w:val="24"/>
          <w:szCs w:val="24"/>
        </w:rPr>
        <w:lastRenderedPageBreak/>
        <w:t>3. Research methodology</w:t>
      </w:r>
      <w:bookmarkEnd w:id="32"/>
      <w:bookmarkEnd w:id="33"/>
      <w:bookmarkEnd w:id="34"/>
      <w:bookmarkEnd w:id="35"/>
    </w:p>
    <w:p w14:paraId="738657AC" w14:textId="599ACB8C" w:rsidR="0086447E" w:rsidRPr="0086447E" w:rsidRDefault="009940FD" w:rsidP="00E62866">
      <w:pPr>
        <w:pStyle w:val="Heading2"/>
        <w:spacing w:line="240" w:lineRule="auto"/>
        <w:jc w:val="both"/>
        <w:rPr>
          <w:rFonts w:ascii="Times New Roman" w:hAnsi="Times New Roman"/>
          <w:i w:val="0"/>
          <w:sz w:val="24"/>
          <w:szCs w:val="24"/>
        </w:rPr>
      </w:pPr>
      <w:bookmarkStart w:id="36" w:name="_Toc347217828"/>
      <w:bookmarkStart w:id="37" w:name="_Toc362776393"/>
      <w:bookmarkStart w:id="38" w:name="_Toc364441641"/>
      <w:bookmarkStart w:id="39" w:name="_Toc452487323"/>
      <w:r>
        <w:rPr>
          <w:rFonts w:ascii="Times New Roman" w:hAnsi="Times New Roman"/>
          <w:i w:val="0"/>
          <w:sz w:val="24"/>
          <w:szCs w:val="24"/>
        </w:rPr>
        <w:t>3.0</w:t>
      </w:r>
      <w:r w:rsidR="0086447E" w:rsidRPr="0086447E">
        <w:rPr>
          <w:rFonts w:ascii="Times New Roman" w:hAnsi="Times New Roman"/>
          <w:i w:val="0"/>
          <w:sz w:val="24"/>
          <w:szCs w:val="24"/>
        </w:rPr>
        <w:t xml:space="preserve"> Introduction</w:t>
      </w:r>
      <w:bookmarkStart w:id="40" w:name="_Toc310871122"/>
      <w:bookmarkEnd w:id="36"/>
      <w:bookmarkEnd w:id="37"/>
      <w:bookmarkEnd w:id="38"/>
      <w:bookmarkEnd w:id="39"/>
      <w:bookmarkEnd w:id="40"/>
    </w:p>
    <w:p w14:paraId="03DE5960" w14:textId="0D9FBD5F" w:rsidR="0086447E" w:rsidRPr="00446283" w:rsidRDefault="000C454B" w:rsidP="00E62866">
      <w:pPr>
        <w:spacing w:after="0" w:line="240" w:lineRule="auto"/>
        <w:jc w:val="both"/>
      </w:pPr>
      <w:r>
        <w:t>This chapter presents</w:t>
      </w:r>
      <w:r w:rsidR="0086447E" w:rsidRPr="00446283">
        <w:t xml:space="preserve"> and discusses the research design, the target population, sampling procedure and sample size. Besides this, the chapter presents the instruments of data collection, data analysis and pr</w:t>
      </w:r>
      <w:r>
        <w:t xml:space="preserve">esentation techniques which were </w:t>
      </w:r>
      <w:r w:rsidR="0086447E" w:rsidRPr="00446283">
        <w:t>used.</w:t>
      </w:r>
    </w:p>
    <w:p w14:paraId="04175CF8" w14:textId="13C226A9" w:rsidR="0086447E" w:rsidRPr="0086447E" w:rsidRDefault="009940FD" w:rsidP="00E62866">
      <w:pPr>
        <w:pStyle w:val="Heading2"/>
        <w:spacing w:before="0" w:line="240" w:lineRule="auto"/>
        <w:jc w:val="both"/>
        <w:rPr>
          <w:rFonts w:ascii="Times New Roman" w:hAnsi="Times New Roman"/>
          <w:i w:val="0"/>
          <w:sz w:val="24"/>
          <w:szCs w:val="24"/>
        </w:rPr>
      </w:pPr>
      <w:bookmarkStart w:id="41" w:name="_Toc247434453"/>
      <w:bookmarkStart w:id="42" w:name="_Toc259467697"/>
      <w:bookmarkStart w:id="43" w:name="_Toc262909094"/>
      <w:bookmarkStart w:id="44" w:name="_Toc310871124"/>
      <w:bookmarkStart w:id="45" w:name="_Toc339792233"/>
      <w:bookmarkStart w:id="46" w:name="_Toc347217829"/>
      <w:bookmarkStart w:id="47" w:name="_Toc362776394"/>
      <w:bookmarkStart w:id="48" w:name="_Toc364441642"/>
      <w:bookmarkStart w:id="49" w:name="_Toc452487324"/>
      <w:r>
        <w:rPr>
          <w:rFonts w:ascii="Times New Roman" w:hAnsi="Times New Roman"/>
          <w:i w:val="0"/>
          <w:sz w:val="24"/>
          <w:szCs w:val="24"/>
        </w:rPr>
        <w:t>3.1</w:t>
      </w:r>
      <w:r w:rsidR="0086447E" w:rsidRPr="0086447E">
        <w:rPr>
          <w:rFonts w:ascii="Times New Roman" w:hAnsi="Times New Roman"/>
          <w:i w:val="0"/>
          <w:sz w:val="24"/>
          <w:szCs w:val="24"/>
        </w:rPr>
        <w:t xml:space="preserve"> Research Design</w:t>
      </w:r>
      <w:bookmarkEnd w:id="41"/>
      <w:bookmarkEnd w:id="42"/>
      <w:bookmarkEnd w:id="43"/>
      <w:bookmarkEnd w:id="44"/>
      <w:bookmarkEnd w:id="45"/>
      <w:bookmarkEnd w:id="46"/>
      <w:bookmarkEnd w:id="47"/>
      <w:bookmarkEnd w:id="48"/>
      <w:bookmarkEnd w:id="49"/>
    </w:p>
    <w:p w14:paraId="7BCFDD87" w14:textId="1911EE4A" w:rsidR="0086447E" w:rsidRPr="00446283" w:rsidRDefault="0086447E" w:rsidP="00E62866">
      <w:pPr>
        <w:tabs>
          <w:tab w:val="left" w:pos="3435"/>
        </w:tabs>
        <w:spacing w:line="240" w:lineRule="auto"/>
        <w:jc w:val="both"/>
      </w:pPr>
      <w:r w:rsidRPr="00446283">
        <w:t>The researcher used the descriptive</w:t>
      </w:r>
      <w:r>
        <w:t xml:space="preserve"> and analytical design</w:t>
      </w:r>
      <w:r w:rsidRPr="00446283">
        <w:t xml:space="preserve">. </w:t>
      </w:r>
      <w:bookmarkStart w:id="50" w:name="_Toc247434454"/>
      <w:bookmarkStart w:id="51" w:name="_Toc259467698"/>
      <w:bookmarkStart w:id="52" w:name="_Toc262909095"/>
      <w:bookmarkStart w:id="53" w:name="_Toc310871125"/>
      <w:r>
        <w:t xml:space="preserve"> </w:t>
      </w:r>
      <w:bookmarkStart w:id="54" w:name="_Toc347217830"/>
      <w:r w:rsidRPr="00446283">
        <w:t xml:space="preserve">In order to achieve the researcher’s objectives, the researcher applied descriptive </w:t>
      </w:r>
      <w:r>
        <w:t xml:space="preserve">and analytical </w:t>
      </w:r>
      <w:r w:rsidRPr="00446283">
        <w:t>design as it was helpful to collect data with a view of assessing and analyzing the economic profitability and its determinants in BK.</w:t>
      </w:r>
      <w:bookmarkStart w:id="55" w:name="_Toc362776395"/>
      <w:bookmarkStart w:id="56" w:name="_Toc364441643"/>
    </w:p>
    <w:p w14:paraId="70727D6D" w14:textId="06C1E8DC" w:rsidR="0086447E" w:rsidRPr="00FC15C3" w:rsidRDefault="009940FD" w:rsidP="00E62866">
      <w:pPr>
        <w:pStyle w:val="Heading2"/>
        <w:spacing w:line="240" w:lineRule="auto"/>
        <w:rPr>
          <w:rFonts w:ascii="Times New Roman" w:hAnsi="Times New Roman" w:cs="Times New Roman"/>
          <w:i w:val="0"/>
          <w:sz w:val="24"/>
          <w:szCs w:val="24"/>
        </w:rPr>
      </w:pPr>
      <w:bookmarkStart w:id="57" w:name="_Toc452487325"/>
      <w:r w:rsidRPr="00FC15C3">
        <w:rPr>
          <w:rFonts w:ascii="Times New Roman" w:hAnsi="Times New Roman" w:cs="Times New Roman"/>
          <w:i w:val="0"/>
          <w:sz w:val="24"/>
          <w:szCs w:val="24"/>
        </w:rPr>
        <w:t>3.2</w:t>
      </w:r>
      <w:r w:rsidR="0086447E" w:rsidRPr="00FC15C3">
        <w:rPr>
          <w:rFonts w:ascii="Times New Roman" w:hAnsi="Times New Roman" w:cs="Times New Roman"/>
          <w:i w:val="0"/>
          <w:sz w:val="24"/>
          <w:szCs w:val="24"/>
        </w:rPr>
        <w:t xml:space="preserve"> </w:t>
      </w:r>
      <w:bookmarkEnd w:id="50"/>
      <w:bookmarkEnd w:id="51"/>
      <w:bookmarkEnd w:id="52"/>
      <w:bookmarkEnd w:id="53"/>
      <w:bookmarkEnd w:id="54"/>
      <w:bookmarkEnd w:id="55"/>
      <w:bookmarkEnd w:id="56"/>
      <w:r w:rsidR="0086447E" w:rsidRPr="00FC15C3">
        <w:rPr>
          <w:rFonts w:ascii="Times New Roman" w:hAnsi="Times New Roman" w:cs="Times New Roman"/>
          <w:i w:val="0"/>
          <w:sz w:val="24"/>
          <w:szCs w:val="24"/>
        </w:rPr>
        <w:t>Target Population</w:t>
      </w:r>
      <w:r w:rsidR="00EC33EB">
        <w:rPr>
          <w:rFonts w:ascii="Times New Roman" w:hAnsi="Times New Roman" w:cs="Times New Roman"/>
          <w:i w:val="0"/>
          <w:sz w:val="24"/>
          <w:szCs w:val="24"/>
        </w:rPr>
        <w:t>s</w:t>
      </w:r>
      <w:bookmarkEnd w:id="57"/>
    </w:p>
    <w:p w14:paraId="7342A253" w14:textId="5D5B0F46" w:rsidR="0086447E" w:rsidRPr="003645CD" w:rsidRDefault="0086447E" w:rsidP="00E62866">
      <w:pPr>
        <w:spacing w:before="100" w:beforeAutospacing="1" w:after="100" w:afterAutospacing="1" w:line="240" w:lineRule="auto"/>
        <w:jc w:val="both"/>
        <w:rPr>
          <w:rFonts w:eastAsia="Times New Roman"/>
        </w:rPr>
      </w:pPr>
      <w:r w:rsidRPr="00446283">
        <w:t xml:space="preserve">The target population in the study was comprised of the </w:t>
      </w:r>
      <w:r w:rsidR="003645CD">
        <w:t>group categories under study</w:t>
      </w:r>
      <w:r w:rsidRPr="00446283">
        <w:t>. Thus the target population in this study was</w:t>
      </w:r>
      <w:r w:rsidR="003645CD">
        <w:t xml:space="preserve"> 112 including </w:t>
      </w:r>
      <w:r w:rsidR="003645CD">
        <w:rPr>
          <w:rFonts w:eastAsia="Times New Roman"/>
        </w:rPr>
        <w:t xml:space="preserve">four executives, 12 head of departments, 26 Managers, 70 branch managers. </w:t>
      </w:r>
      <w:r w:rsidR="003645CD">
        <w:t>Therefore, this target population referred</w:t>
      </w:r>
      <w:r w:rsidRPr="00446283">
        <w:t xml:space="preserve"> to an entire group of persons that have </w:t>
      </w:r>
      <w:r w:rsidR="003645CD">
        <w:t xml:space="preserve">information related to the research </w:t>
      </w:r>
      <w:bookmarkStart w:id="58" w:name="_Toc247434456"/>
      <w:bookmarkStart w:id="59" w:name="_Toc259467699"/>
      <w:bookmarkStart w:id="60" w:name="_Toc262909096"/>
      <w:bookmarkStart w:id="61" w:name="_Toc310871126"/>
      <w:bookmarkStart w:id="62" w:name="_Toc339792234"/>
      <w:r w:rsidR="003645CD">
        <w:t xml:space="preserve">objectives. </w:t>
      </w:r>
    </w:p>
    <w:p w14:paraId="017E7BC5" w14:textId="77777777" w:rsidR="009940FD" w:rsidRPr="009940FD" w:rsidRDefault="009940FD" w:rsidP="00E62866">
      <w:pPr>
        <w:pStyle w:val="Heading2"/>
        <w:spacing w:line="240" w:lineRule="auto"/>
        <w:rPr>
          <w:rFonts w:ascii="Times New Roman" w:hAnsi="Times New Roman" w:cs="Times New Roman"/>
          <w:i w:val="0"/>
          <w:sz w:val="24"/>
          <w:szCs w:val="24"/>
        </w:rPr>
      </w:pPr>
      <w:bookmarkStart w:id="63" w:name="_Toc411799715"/>
      <w:bookmarkStart w:id="64" w:name="_Toc413306174"/>
      <w:bookmarkStart w:id="65" w:name="_Toc442878428"/>
      <w:bookmarkStart w:id="66" w:name="_Toc451414226"/>
      <w:bookmarkStart w:id="67" w:name="_Toc452487326"/>
      <w:r w:rsidRPr="009940FD">
        <w:rPr>
          <w:rFonts w:ascii="Times New Roman" w:hAnsi="Times New Roman" w:cs="Times New Roman"/>
          <w:i w:val="0"/>
          <w:sz w:val="24"/>
          <w:szCs w:val="24"/>
        </w:rPr>
        <w:t>3.3 Sample Design</w:t>
      </w:r>
      <w:bookmarkEnd w:id="63"/>
      <w:bookmarkEnd w:id="64"/>
      <w:bookmarkEnd w:id="65"/>
      <w:bookmarkEnd w:id="66"/>
      <w:bookmarkEnd w:id="67"/>
    </w:p>
    <w:p w14:paraId="0E12F587" w14:textId="1865F5CE" w:rsidR="009940FD" w:rsidRPr="00CC7A64" w:rsidRDefault="009940FD" w:rsidP="00E62866">
      <w:pPr>
        <w:autoSpaceDE w:val="0"/>
        <w:autoSpaceDN w:val="0"/>
        <w:adjustRightInd w:val="0"/>
        <w:spacing w:before="100" w:beforeAutospacing="1" w:after="100" w:afterAutospacing="1" w:line="240" w:lineRule="auto"/>
        <w:jc w:val="both"/>
      </w:pPr>
      <w:r w:rsidRPr="00CC7A64">
        <w:rPr>
          <w:noProof/>
        </w:rPr>
        <w:t>A</w:t>
      </w:r>
      <w:r w:rsidRPr="00CC7A64">
        <w:t xml:space="preserve"> sample is a smaller group obtained from accessible population. This group is carefully selected so as to be representative of the whole population with relevant</w:t>
      </w:r>
      <w:r>
        <w:t xml:space="preserve"> characteristics.  The study</w:t>
      </w:r>
      <w:r w:rsidRPr="00CC7A64">
        <w:t xml:space="preserve"> consider</w:t>
      </w:r>
      <w:r>
        <w:t>ed</w:t>
      </w:r>
      <w:r w:rsidRPr="00CC7A64">
        <w:t xml:space="preserve"> a sample size that is within the cost constraint but should provide the ability to detect variables effect.</w:t>
      </w:r>
    </w:p>
    <w:p w14:paraId="32BDF581" w14:textId="77777777" w:rsidR="009940FD" w:rsidRPr="00CC7A64" w:rsidRDefault="009940FD" w:rsidP="00E62866">
      <w:pPr>
        <w:spacing w:line="240" w:lineRule="auto"/>
      </w:pPr>
      <w:r w:rsidRPr="00CC7A64">
        <w:t>This study determined sample size, because the researcher has limited time and cost, therefore the researcher used Yamane formula as follows;</w:t>
      </w:r>
    </w:p>
    <w:p w14:paraId="3C801C5F" w14:textId="691E2321" w:rsidR="009940FD" w:rsidRPr="00CC7A64" w:rsidRDefault="009940FD" w:rsidP="00E62866">
      <w:pPr>
        <w:spacing w:line="240" w:lineRule="auto"/>
        <w:rPr>
          <w:rFonts w:eastAsiaTheme="minorEastAsia"/>
        </w:rPr>
      </w:pPr>
      <m:oMath>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1+N</m:t>
            </m:r>
            <m:sSup>
              <m:sSupPr>
                <m:ctrlPr>
                  <w:rPr>
                    <w:rFonts w:ascii="Cambria Math" w:hAnsi="Cambria Math"/>
                    <w:i/>
                  </w:rPr>
                </m:ctrlPr>
              </m:sSupPr>
              <m:e>
                <m:r>
                  <w:rPr>
                    <w:rFonts w:ascii="Cambria Math" w:hAnsi="Cambria Math"/>
                  </w:rPr>
                  <m:t>e</m:t>
                </m:r>
              </m:e>
              <m:sup>
                <m:r>
                  <w:rPr>
                    <w:rFonts w:ascii="Cambria Math" w:hAnsi="Cambria Math"/>
                  </w:rPr>
                  <m:t>2</m:t>
                </m:r>
              </m:sup>
            </m:sSup>
          </m:den>
        </m:f>
        <m:r>
          <w:rPr>
            <w:rFonts w:ascii="Cambria Math" w:hAnsi="Cambria Math"/>
          </w:rPr>
          <m:t xml:space="preserve">= </m:t>
        </m:r>
        <m:f>
          <m:fPr>
            <m:ctrlPr>
              <w:rPr>
                <w:rFonts w:ascii="Cambria Math" w:hAnsi="Cambria Math"/>
                <w:i/>
              </w:rPr>
            </m:ctrlPr>
          </m:fPr>
          <m:num>
            <m:r>
              <w:rPr>
                <w:rFonts w:ascii="Cambria Math" w:hAnsi="Cambria Math"/>
              </w:rPr>
              <m:t>112</m:t>
            </m:r>
          </m:num>
          <m:den>
            <m:r>
              <w:rPr>
                <w:rFonts w:ascii="Cambria Math" w:hAnsi="Cambria Math"/>
              </w:rPr>
              <m:t>1+112</m:t>
            </m:r>
            <m:sSup>
              <m:sSupPr>
                <m:ctrlPr>
                  <w:rPr>
                    <w:rFonts w:ascii="Cambria Math" w:hAnsi="Cambria Math"/>
                    <w:i/>
                  </w:rPr>
                </m:ctrlPr>
              </m:sSupPr>
              <m:e>
                <m:r>
                  <w:rPr>
                    <w:rFonts w:ascii="Cambria Math" w:hAnsi="Cambria Math"/>
                  </w:rPr>
                  <m:t>*0.05</m:t>
                </m:r>
              </m:e>
              <m:sup>
                <m:r>
                  <w:rPr>
                    <w:rFonts w:ascii="Cambria Math" w:hAnsi="Cambria Math"/>
                  </w:rPr>
                  <m:t>2</m:t>
                </m:r>
              </m:sup>
            </m:sSup>
          </m:den>
        </m:f>
      </m:oMath>
      <w:r>
        <w:rPr>
          <w:rFonts w:eastAsiaTheme="minorEastAsia"/>
        </w:rPr>
        <w:t xml:space="preserve"> = 88 </w:t>
      </w:r>
      <w:r w:rsidRPr="00CC7A64">
        <w:rPr>
          <w:rFonts w:eastAsiaTheme="minorEastAsia"/>
        </w:rPr>
        <w:t>respondents</w:t>
      </w:r>
    </w:p>
    <w:p w14:paraId="78C9ED85" w14:textId="0D8CDE89" w:rsidR="009940FD" w:rsidRPr="003645CD" w:rsidRDefault="009940FD" w:rsidP="00E62866">
      <w:pPr>
        <w:spacing w:line="240" w:lineRule="auto"/>
        <w:rPr>
          <w:rFonts w:eastAsiaTheme="minorEastAsia"/>
        </w:rPr>
      </w:pPr>
      <w:r w:rsidRPr="00CC7A64">
        <w:rPr>
          <w:rFonts w:eastAsiaTheme="minorEastAsia"/>
        </w:rPr>
        <w:t>N: Target Population, n: Sample size, and e: error of precision</w:t>
      </w:r>
    </w:p>
    <w:p w14:paraId="1C5468DD" w14:textId="1786FD38" w:rsidR="003645CD" w:rsidRPr="003645CD" w:rsidRDefault="003645CD" w:rsidP="00E62866">
      <w:pPr>
        <w:spacing w:line="240" w:lineRule="auto"/>
        <w:jc w:val="both"/>
        <w:rPr>
          <w:rFonts w:eastAsiaTheme="minorEastAsia"/>
        </w:rPr>
      </w:pPr>
      <w:r w:rsidRPr="00CC7A64">
        <w:rPr>
          <w:rFonts w:eastAsiaTheme="minorEastAsia"/>
        </w:rPr>
        <w:t xml:space="preserve">The sample size of population under study was composed by three </w:t>
      </w:r>
      <w:r>
        <w:t>executives, nine heads of department, 20 managers of main branch and 70 branch managers</w:t>
      </w:r>
      <w:r w:rsidRPr="00CC7A64">
        <w:t>.</w:t>
      </w:r>
      <w:r>
        <w:t xml:space="preserve"> Therefore, sample size was 88</w:t>
      </w:r>
      <w:r w:rsidRPr="00CC7A64">
        <w:t xml:space="preserve"> respondents.</w:t>
      </w:r>
    </w:p>
    <w:p w14:paraId="2590833B" w14:textId="1B1CFB26" w:rsidR="003645CD" w:rsidRPr="003645CD" w:rsidRDefault="00EF6959" w:rsidP="00E62866">
      <w:pPr>
        <w:pStyle w:val="Caption"/>
        <w:spacing w:line="240" w:lineRule="auto"/>
        <w:rPr>
          <w:b/>
        </w:rPr>
      </w:pPr>
      <w:bookmarkStart w:id="68" w:name="_Toc452485264"/>
      <w:bookmarkStart w:id="69" w:name="_Toc455605331"/>
      <w:r>
        <w:rPr>
          <w:b/>
        </w:rPr>
        <w:t xml:space="preserve">Table </w:t>
      </w:r>
      <w:r w:rsidR="003645CD" w:rsidRPr="003645CD">
        <w:rPr>
          <w:b/>
        </w:rPr>
        <w:fldChar w:fldCharType="begin"/>
      </w:r>
      <w:r w:rsidR="003645CD" w:rsidRPr="003645CD">
        <w:rPr>
          <w:b/>
        </w:rPr>
        <w:instrText xml:space="preserve"> SEQ Table \* ARABIC </w:instrText>
      </w:r>
      <w:r w:rsidR="003645CD" w:rsidRPr="003645CD">
        <w:rPr>
          <w:b/>
        </w:rPr>
        <w:fldChar w:fldCharType="separate"/>
      </w:r>
      <w:r>
        <w:rPr>
          <w:b/>
          <w:noProof/>
        </w:rPr>
        <w:t>1</w:t>
      </w:r>
      <w:r w:rsidR="003645CD" w:rsidRPr="003645CD">
        <w:rPr>
          <w:b/>
        </w:rPr>
        <w:fldChar w:fldCharType="end"/>
      </w:r>
      <w:r w:rsidR="003645CD" w:rsidRPr="00BC4EC7">
        <w:t>: Sampling Techniques</w:t>
      </w:r>
      <w:bookmarkEnd w:id="68"/>
      <w:bookmarkEnd w:id="69"/>
    </w:p>
    <w:tbl>
      <w:tblPr>
        <w:tblW w:w="8987" w:type="dxa"/>
        <w:tblLook w:val="04A0" w:firstRow="1" w:lastRow="0" w:firstColumn="1" w:lastColumn="0" w:noHBand="0" w:noVBand="1"/>
      </w:tblPr>
      <w:tblGrid>
        <w:gridCol w:w="2996"/>
        <w:gridCol w:w="2600"/>
        <w:gridCol w:w="1668"/>
        <w:gridCol w:w="1723"/>
      </w:tblGrid>
      <w:tr w:rsidR="009940FD" w:rsidRPr="009940FD" w14:paraId="115F7AE5" w14:textId="77777777" w:rsidTr="009940FD">
        <w:trPr>
          <w:trHeight w:val="327"/>
        </w:trPr>
        <w:tc>
          <w:tcPr>
            <w:tcW w:w="2996" w:type="dxa"/>
            <w:tcBorders>
              <w:top w:val="single" w:sz="4" w:space="0" w:color="auto"/>
              <w:left w:val="nil"/>
              <w:bottom w:val="single" w:sz="4" w:space="0" w:color="auto"/>
              <w:right w:val="nil"/>
            </w:tcBorders>
            <w:shd w:val="clear" w:color="auto" w:fill="auto"/>
            <w:noWrap/>
            <w:vAlign w:val="bottom"/>
            <w:hideMark/>
          </w:tcPr>
          <w:p w14:paraId="20D6916B"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Categories</w:t>
            </w:r>
          </w:p>
        </w:tc>
        <w:tc>
          <w:tcPr>
            <w:tcW w:w="2600" w:type="dxa"/>
            <w:tcBorders>
              <w:top w:val="single" w:sz="4" w:space="0" w:color="auto"/>
              <w:left w:val="nil"/>
              <w:bottom w:val="single" w:sz="4" w:space="0" w:color="auto"/>
              <w:right w:val="nil"/>
            </w:tcBorders>
            <w:shd w:val="clear" w:color="auto" w:fill="auto"/>
            <w:noWrap/>
            <w:vAlign w:val="bottom"/>
            <w:hideMark/>
          </w:tcPr>
          <w:p w14:paraId="62957855"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 xml:space="preserve">Target population </w:t>
            </w:r>
          </w:p>
        </w:tc>
        <w:tc>
          <w:tcPr>
            <w:tcW w:w="1668" w:type="dxa"/>
            <w:tcBorders>
              <w:top w:val="single" w:sz="4" w:space="0" w:color="auto"/>
              <w:left w:val="nil"/>
              <w:bottom w:val="single" w:sz="4" w:space="0" w:color="auto"/>
              <w:right w:val="nil"/>
            </w:tcBorders>
            <w:shd w:val="clear" w:color="auto" w:fill="auto"/>
            <w:noWrap/>
            <w:vAlign w:val="bottom"/>
            <w:hideMark/>
          </w:tcPr>
          <w:p w14:paraId="1B363324"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Percentage</w:t>
            </w:r>
          </w:p>
        </w:tc>
        <w:tc>
          <w:tcPr>
            <w:tcW w:w="1723" w:type="dxa"/>
            <w:tcBorders>
              <w:top w:val="single" w:sz="4" w:space="0" w:color="auto"/>
              <w:left w:val="nil"/>
              <w:bottom w:val="single" w:sz="4" w:space="0" w:color="auto"/>
              <w:right w:val="nil"/>
            </w:tcBorders>
            <w:shd w:val="clear" w:color="auto" w:fill="auto"/>
            <w:noWrap/>
            <w:vAlign w:val="bottom"/>
            <w:hideMark/>
          </w:tcPr>
          <w:p w14:paraId="0954B2E4"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Sample Size</w:t>
            </w:r>
          </w:p>
        </w:tc>
      </w:tr>
      <w:tr w:rsidR="009940FD" w:rsidRPr="009940FD" w14:paraId="6E69A4F6" w14:textId="77777777" w:rsidTr="009940FD">
        <w:trPr>
          <w:trHeight w:val="327"/>
        </w:trPr>
        <w:tc>
          <w:tcPr>
            <w:tcW w:w="2996" w:type="dxa"/>
            <w:tcBorders>
              <w:top w:val="nil"/>
              <w:left w:val="nil"/>
              <w:bottom w:val="nil"/>
              <w:right w:val="nil"/>
            </w:tcBorders>
            <w:shd w:val="clear" w:color="auto" w:fill="auto"/>
            <w:noWrap/>
            <w:vAlign w:val="bottom"/>
            <w:hideMark/>
          </w:tcPr>
          <w:p w14:paraId="16FA6129"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Executives</w:t>
            </w:r>
          </w:p>
        </w:tc>
        <w:tc>
          <w:tcPr>
            <w:tcW w:w="2600" w:type="dxa"/>
            <w:tcBorders>
              <w:top w:val="nil"/>
              <w:left w:val="nil"/>
              <w:bottom w:val="nil"/>
              <w:right w:val="nil"/>
            </w:tcBorders>
            <w:shd w:val="clear" w:color="auto" w:fill="auto"/>
            <w:noWrap/>
            <w:vAlign w:val="bottom"/>
            <w:hideMark/>
          </w:tcPr>
          <w:p w14:paraId="1E6E1DB1"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4</w:t>
            </w:r>
          </w:p>
        </w:tc>
        <w:tc>
          <w:tcPr>
            <w:tcW w:w="1668" w:type="dxa"/>
            <w:tcBorders>
              <w:top w:val="nil"/>
              <w:left w:val="nil"/>
              <w:bottom w:val="nil"/>
              <w:right w:val="nil"/>
            </w:tcBorders>
            <w:shd w:val="clear" w:color="auto" w:fill="auto"/>
            <w:noWrap/>
            <w:vAlign w:val="bottom"/>
            <w:hideMark/>
          </w:tcPr>
          <w:p w14:paraId="0175C0D5"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3.57</w:t>
            </w:r>
          </w:p>
        </w:tc>
        <w:tc>
          <w:tcPr>
            <w:tcW w:w="1723" w:type="dxa"/>
            <w:tcBorders>
              <w:top w:val="nil"/>
              <w:left w:val="nil"/>
              <w:bottom w:val="nil"/>
              <w:right w:val="nil"/>
            </w:tcBorders>
            <w:shd w:val="clear" w:color="auto" w:fill="auto"/>
            <w:noWrap/>
            <w:vAlign w:val="bottom"/>
            <w:hideMark/>
          </w:tcPr>
          <w:p w14:paraId="1D736154"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3</w:t>
            </w:r>
          </w:p>
        </w:tc>
      </w:tr>
      <w:tr w:rsidR="009940FD" w:rsidRPr="009940FD" w14:paraId="2DB44BF9" w14:textId="77777777" w:rsidTr="009940FD">
        <w:trPr>
          <w:trHeight w:val="327"/>
        </w:trPr>
        <w:tc>
          <w:tcPr>
            <w:tcW w:w="2996" w:type="dxa"/>
            <w:tcBorders>
              <w:top w:val="nil"/>
              <w:left w:val="nil"/>
              <w:bottom w:val="nil"/>
              <w:right w:val="nil"/>
            </w:tcBorders>
            <w:shd w:val="clear" w:color="auto" w:fill="auto"/>
            <w:noWrap/>
            <w:vAlign w:val="bottom"/>
            <w:hideMark/>
          </w:tcPr>
          <w:p w14:paraId="65EA67B7"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Head of Departments</w:t>
            </w:r>
          </w:p>
        </w:tc>
        <w:tc>
          <w:tcPr>
            <w:tcW w:w="2600" w:type="dxa"/>
            <w:tcBorders>
              <w:top w:val="nil"/>
              <w:left w:val="nil"/>
              <w:bottom w:val="nil"/>
              <w:right w:val="nil"/>
            </w:tcBorders>
            <w:shd w:val="clear" w:color="auto" w:fill="auto"/>
            <w:noWrap/>
            <w:vAlign w:val="bottom"/>
            <w:hideMark/>
          </w:tcPr>
          <w:p w14:paraId="6C99C0C1"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12</w:t>
            </w:r>
          </w:p>
        </w:tc>
        <w:tc>
          <w:tcPr>
            <w:tcW w:w="1668" w:type="dxa"/>
            <w:tcBorders>
              <w:top w:val="nil"/>
              <w:left w:val="nil"/>
              <w:bottom w:val="nil"/>
              <w:right w:val="nil"/>
            </w:tcBorders>
            <w:shd w:val="clear" w:color="auto" w:fill="auto"/>
            <w:noWrap/>
            <w:vAlign w:val="bottom"/>
            <w:hideMark/>
          </w:tcPr>
          <w:p w14:paraId="61848DD1"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10.71</w:t>
            </w:r>
          </w:p>
        </w:tc>
        <w:tc>
          <w:tcPr>
            <w:tcW w:w="1723" w:type="dxa"/>
            <w:tcBorders>
              <w:top w:val="nil"/>
              <w:left w:val="nil"/>
              <w:bottom w:val="nil"/>
              <w:right w:val="nil"/>
            </w:tcBorders>
            <w:shd w:val="clear" w:color="auto" w:fill="auto"/>
            <w:noWrap/>
            <w:vAlign w:val="bottom"/>
            <w:hideMark/>
          </w:tcPr>
          <w:p w14:paraId="354185BC"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9</w:t>
            </w:r>
          </w:p>
        </w:tc>
      </w:tr>
      <w:tr w:rsidR="009940FD" w:rsidRPr="009940FD" w14:paraId="1693635A" w14:textId="77777777" w:rsidTr="009940FD">
        <w:trPr>
          <w:trHeight w:val="327"/>
        </w:trPr>
        <w:tc>
          <w:tcPr>
            <w:tcW w:w="2996" w:type="dxa"/>
            <w:tcBorders>
              <w:top w:val="nil"/>
              <w:left w:val="nil"/>
              <w:bottom w:val="nil"/>
              <w:right w:val="nil"/>
            </w:tcBorders>
            <w:shd w:val="clear" w:color="auto" w:fill="auto"/>
            <w:noWrap/>
            <w:vAlign w:val="bottom"/>
            <w:hideMark/>
          </w:tcPr>
          <w:p w14:paraId="78D35EA7" w14:textId="70CED69A" w:rsidR="009940FD" w:rsidRPr="009940FD" w:rsidRDefault="009940FD" w:rsidP="00E62866">
            <w:pPr>
              <w:spacing w:after="0" w:line="240" w:lineRule="auto"/>
              <w:rPr>
                <w:rFonts w:eastAsia="Times New Roman"/>
                <w:color w:val="000000"/>
              </w:rPr>
            </w:pPr>
            <w:r w:rsidRPr="009940FD">
              <w:rPr>
                <w:rFonts w:eastAsia="Times New Roman"/>
                <w:color w:val="000000"/>
              </w:rPr>
              <w:t xml:space="preserve">Managers </w:t>
            </w:r>
            <w:r w:rsidR="003645CD">
              <w:rPr>
                <w:rFonts w:eastAsia="Times New Roman"/>
                <w:color w:val="000000"/>
              </w:rPr>
              <w:t xml:space="preserve">of </w:t>
            </w:r>
            <w:r w:rsidRPr="009940FD">
              <w:rPr>
                <w:rFonts w:eastAsia="Times New Roman"/>
                <w:color w:val="000000"/>
              </w:rPr>
              <w:t>main branch</w:t>
            </w:r>
          </w:p>
        </w:tc>
        <w:tc>
          <w:tcPr>
            <w:tcW w:w="2600" w:type="dxa"/>
            <w:tcBorders>
              <w:top w:val="nil"/>
              <w:left w:val="nil"/>
              <w:bottom w:val="nil"/>
              <w:right w:val="nil"/>
            </w:tcBorders>
            <w:shd w:val="clear" w:color="auto" w:fill="auto"/>
            <w:noWrap/>
            <w:vAlign w:val="bottom"/>
            <w:hideMark/>
          </w:tcPr>
          <w:p w14:paraId="5FE32CA5"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26</w:t>
            </w:r>
          </w:p>
        </w:tc>
        <w:tc>
          <w:tcPr>
            <w:tcW w:w="1668" w:type="dxa"/>
            <w:tcBorders>
              <w:top w:val="nil"/>
              <w:left w:val="nil"/>
              <w:bottom w:val="nil"/>
              <w:right w:val="nil"/>
            </w:tcBorders>
            <w:shd w:val="clear" w:color="auto" w:fill="auto"/>
            <w:noWrap/>
            <w:vAlign w:val="bottom"/>
            <w:hideMark/>
          </w:tcPr>
          <w:p w14:paraId="29349913"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23.21</w:t>
            </w:r>
          </w:p>
        </w:tc>
        <w:tc>
          <w:tcPr>
            <w:tcW w:w="1723" w:type="dxa"/>
            <w:tcBorders>
              <w:top w:val="nil"/>
              <w:left w:val="nil"/>
              <w:bottom w:val="nil"/>
              <w:right w:val="nil"/>
            </w:tcBorders>
            <w:shd w:val="clear" w:color="auto" w:fill="auto"/>
            <w:noWrap/>
            <w:vAlign w:val="bottom"/>
            <w:hideMark/>
          </w:tcPr>
          <w:p w14:paraId="61E12D4A"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20</w:t>
            </w:r>
          </w:p>
        </w:tc>
      </w:tr>
      <w:tr w:rsidR="009940FD" w:rsidRPr="009940FD" w14:paraId="3B367347" w14:textId="77777777" w:rsidTr="009940FD">
        <w:trPr>
          <w:trHeight w:val="327"/>
        </w:trPr>
        <w:tc>
          <w:tcPr>
            <w:tcW w:w="2996" w:type="dxa"/>
            <w:tcBorders>
              <w:top w:val="nil"/>
              <w:left w:val="nil"/>
              <w:bottom w:val="nil"/>
              <w:right w:val="nil"/>
            </w:tcBorders>
            <w:shd w:val="clear" w:color="auto" w:fill="auto"/>
            <w:noWrap/>
            <w:vAlign w:val="bottom"/>
            <w:hideMark/>
          </w:tcPr>
          <w:p w14:paraId="2F5723A7"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Branch Managers</w:t>
            </w:r>
          </w:p>
        </w:tc>
        <w:tc>
          <w:tcPr>
            <w:tcW w:w="2600" w:type="dxa"/>
            <w:tcBorders>
              <w:top w:val="nil"/>
              <w:left w:val="nil"/>
              <w:bottom w:val="nil"/>
              <w:right w:val="nil"/>
            </w:tcBorders>
            <w:shd w:val="clear" w:color="auto" w:fill="auto"/>
            <w:noWrap/>
            <w:vAlign w:val="bottom"/>
            <w:hideMark/>
          </w:tcPr>
          <w:p w14:paraId="3CFF7ABC"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70</w:t>
            </w:r>
          </w:p>
        </w:tc>
        <w:tc>
          <w:tcPr>
            <w:tcW w:w="1668" w:type="dxa"/>
            <w:tcBorders>
              <w:top w:val="nil"/>
              <w:left w:val="nil"/>
              <w:bottom w:val="nil"/>
              <w:right w:val="nil"/>
            </w:tcBorders>
            <w:shd w:val="clear" w:color="auto" w:fill="auto"/>
            <w:noWrap/>
            <w:vAlign w:val="bottom"/>
            <w:hideMark/>
          </w:tcPr>
          <w:p w14:paraId="30145990"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62.50</w:t>
            </w:r>
          </w:p>
        </w:tc>
        <w:tc>
          <w:tcPr>
            <w:tcW w:w="1723" w:type="dxa"/>
            <w:tcBorders>
              <w:top w:val="nil"/>
              <w:left w:val="nil"/>
              <w:bottom w:val="nil"/>
              <w:right w:val="nil"/>
            </w:tcBorders>
            <w:shd w:val="clear" w:color="auto" w:fill="auto"/>
            <w:noWrap/>
            <w:vAlign w:val="bottom"/>
            <w:hideMark/>
          </w:tcPr>
          <w:p w14:paraId="17BCA5EF"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55</w:t>
            </w:r>
          </w:p>
        </w:tc>
      </w:tr>
      <w:tr w:rsidR="009940FD" w:rsidRPr="009940FD" w14:paraId="517AEAC3" w14:textId="77777777" w:rsidTr="009940FD">
        <w:trPr>
          <w:trHeight w:val="327"/>
        </w:trPr>
        <w:tc>
          <w:tcPr>
            <w:tcW w:w="2996" w:type="dxa"/>
            <w:tcBorders>
              <w:top w:val="nil"/>
              <w:left w:val="nil"/>
              <w:bottom w:val="single" w:sz="4" w:space="0" w:color="auto"/>
              <w:right w:val="nil"/>
            </w:tcBorders>
            <w:shd w:val="clear" w:color="auto" w:fill="auto"/>
            <w:noWrap/>
            <w:vAlign w:val="bottom"/>
            <w:hideMark/>
          </w:tcPr>
          <w:p w14:paraId="32F14023" w14:textId="77777777" w:rsidR="009940FD" w:rsidRPr="009940FD" w:rsidRDefault="009940FD" w:rsidP="00E62866">
            <w:pPr>
              <w:spacing w:after="0" w:line="240" w:lineRule="auto"/>
              <w:rPr>
                <w:rFonts w:eastAsia="Times New Roman"/>
                <w:color w:val="000000"/>
              </w:rPr>
            </w:pPr>
            <w:r w:rsidRPr="009940FD">
              <w:rPr>
                <w:rFonts w:eastAsia="Times New Roman"/>
                <w:color w:val="000000"/>
              </w:rPr>
              <w:t>Total</w:t>
            </w:r>
          </w:p>
        </w:tc>
        <w:tc>
          <w:tcPr>
            <w:tcW w:w="2600" w:type="dxa"/>
            <w:tcBorders>
              <w:top w:val="nil"/>
              <w:left w:val="nil"/>
              <w:bottom w:val="single" w:sz="4" w:space="0" w:color="auto"/>
              <w:right w:val="nil"/>
            </w:tcBorders>
            <w:shd w:val="clear" w:color="auto" w:fill="auto"/>
            <w:noWrap/>
            <w:vAlign w:val="bottom"/>
            <w:hideMark/>
          </w:tcPr>
          <w:p w14:paraId="6C365448"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112</w:t>
            </w:r>
          </w:p>
        </w:tc>
        <w:tc>
          <w:tcPr>
            <w:tcW w:w="1668" w:type="dxa"/>
            <w:tcBorders>
              <w:top w:val="nil"/>
              <w:left w:val="nil"/>
              <w:bottom w:val="single" w:sz="4" w:space="0" w:color="auto"/>
              <w:right w:val="nil"/>
            </w:tcBorders>
            <w:shd w:val="clear" w:color="auto" w:fill="auto"/>
            <w:noWrap/>
            <w:vAlign w:val="bottom"/>
            <w:hideMark/>
          </w:tcPr>
          <w:p w14:paraId="7B4C38A0"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100</w:t>
            </w:r>
          </w:p>
        </w:tc>
        <w:tc>
          <w:tcPr>
            <w:tcW w:w="1723" w:type="dxa"/>
            <w:tcBorders>
              <w:top w:val="nil"/>
              <w:left w:val="nil"/>
              <w:bottom w:val="single" w:sz="4" w:space="0" w:color="auto"/>
              <w:right w:val="nil"/>
            </w:tcBorders>
            <w:shd w:val="clear" w:color="auto" w:fill="auto"/>
            <w:noWrap/>
            <w:vAlign w:val="bottom"/>
            <w:hideMark/>
          </w:tcPr>
          <w:p w14:paraId="362556AD" w14:textId="77777777" w:rsidR="009940FD" w:rsidRPr="009940FD" w:rsidRDefault="009940FD" w:rsidP="00E62866">
            <w:pPr>
              <w:spacing w:after="0" w:line="240" w:lineRule="auto"/>
              <w:jc w:val="center"/>
              <w:rPr>
                <w:rFonts w:eastAsia="Times New Roman"/>
                <w:color w:val="000000"/>
              </w:rPr>
            </w:pPr>
            <w:r w:rsidRPr="009940FD">
              <w:rPr>
                <w:rFonts w:eastAsia="Times New Roman"/>
                <w:color w:val="000000"/>
              </w:rPr>
              <w:t>88</w:t>
            </w:r>
          </w:p>
        </w:tc>
      </w:tr>
    </w:tbl>
    <w:p w14:paraId="6519A081" w14:textId="678EBBE9" w:rsidR="009940FD" w:rsidRPr="0086223D" w:rsidRDefault="0086223D" w:rsidP="00E62866">
      <w:pPr>
        <w:spacing w:line="240" w:lineRule="auto"/>
        <w:rPr>
          <w:b/>
        </w:rPr>
      </w:pPr>
      <w:r w:rsidRPr="0086223D">
        <w:rPr>
          <w:b/>
        </w:rPr>
        <w:t>Source: Bank of Kigali, 2016</w:t>
      </w:r>
    </w:p>
    <w:p w14:paraId="78077FD8" w14:textId="2374D60F" w:rsidR="009940FD" w:rsidRPr="0086223D" w:rsidRDefault="009940FD" w:rsidP="00E62866">
      <w:pPr>
        <w:spacing w:before="100" w:beforeAutospacing="1" w:after="100" w:afterAutospacing="1" w:line="240" w:lineRule="auto"/>
        <w:jc w:val="both"/>
        <w:rPr>
          <w:rFonts w:eastAsia="Times New Roman"/>
        </w:rPr>
      </w:pPr>
      <w:r w:rsidRPr="00CC7A64">
        <w:rPr>
          <w:bCs/>
        </w:rPr>
        <w:lastRenderedPageBreak/>
        <w:t xml:space="preserve">The researcher first classified population into four strata according to their characteristics such as, </w:t>
      </w:r>
      <w:r w:rsidR="0086223D">
        <w:rPr>
          <w:rFonts w:eastAsia="Times New Roman"/>
        </w:rPr>
        <w:t>executives, head of departments</w:t>
      </w:r>
      <w:proofErr w:type="gramStart"/>
      <w:r w:rsidR="0086223D">
        <w:rPr>
          <w:rFonts w:eastAsia="Times New Roman"/>
        </w:rPr>
        <w:t>,  managers</w:t>
      </w:r>
      <w:proofErr w:type="gramEnd"/>
      <w:r w:rsidR="0086223D">
        <w:rPr>
          <w:rFonts w:eastAsia="Times New Roman"/>
        </w:rPr>
        <w:t xml:space="preserve"> of main branch and  Branch Managers </w:t>
      </w:r>
      <w:r w:rsidRPr="00CC7A64">
        <w:rPr>
          <w:bCs/>
        </w:rPr>
        <w:t xml:space="preserve">. </w:t>
      </w:r>
      <w:r w:rsidR="00EF6959">
        <w:rPr>
          <w:bCs/>
        </w:rPr>
        <w:t xml:space="preserve">As it is represented in Table </w:t>
      </w:r>
      <w:r w:rsidRPr="00CC7A64">
        <w:rPr>
          <w:bCs/>
        </w:rPr>
        <w:t>1, after grouping respondents into group, the researcher selected respondents, where everyone had the probability of bein</w:t>
      </w:r>
      <w:bookmarkStart w:id="70" w:name="_Toc274679422"/>
      <w:bookmarkStart w:id="71" w:name="_Toc391281513"/>
      <w:r w:rsidRPr="00CC7A64">
        <w:rPr>
          <w:bCs/>
        </w:rPr>
        <w:t>g selected to be in the sample.</w:t>
      </w:r>
      <w:bookmarkEnd w:id="70"/>
      <w:bookmarkEnd w:id="71"/>
      <w:r w:rsidRPr="00CC7A64">
        <w:rPr>
          <w:bCs/>
        </w:rPr>
        <w:t xml:space="preserve"> The sampling technique that was used in this study was stratified random sampling method. Stratified random sampling</w:t>
      </w:r>
      <w:r w:rsidR="0086223D">
        <w:rPr>
          <w:bCs/>
        </w:rPr>
        <w:t xml:space="preserve"> was used because population was</w:t>
      </w:r>
      <w:r w:rsidRPr="00CC7A64">
        <w:rPr>
          <w:bCs/>
        </w:rPr>
        <w:t xml:space="preserve"> not homogeneous and combining both stratified and simple random sampling methods. </w:t>
      </w:r>
    </w:p>
    <w:p w14:paraId="451F28E1" w14:textId="77777777" w:rsidR="0086223D" w:rsidRPr="0086223D" w:rsidRDefault="0086223D" w:rsidP="00E62866">
      <w:pPr>
        <w:pStyle w:val="Heading2"/>
        <w:spacing w:line="240" w:lineRule="auto"/>
        <w:rPr>
          <w:rFonts w:ascii="Times New Roman" w:hAnsi="Times New Roman" w:cs="Times New Roman"/>
          <w:i w:val="0"/>
          <w:sz w:val="24"/>
          <w:szCs w:val="24"/>
        </w:rPr>
      </w:pPr>
      <w:bookmarkStart w:id="72" w:name="_Toc410771152"/>
      <w:bookmarkStart w:id="73" w:name="_Toc451249276"/>
      <w:bookmarkStart w:id="74" w:name="_Toc452487329"/>
      <w:bookmarkStart w:id="75" w:name="_Toc247434458"/>
      <w:bookmarkStart w:id="76" w:name="_Toc259467702"/>
      <w:bookmarkStart w:id="77" w:name="_Toc262909099"/>
      <w:bookmarkStart w:id="78" w:name="_Toc310871129"/>
      <w:bookmarkStart w:id="79" w:name="_Toc339792237"/>
      <w:bookmarkStart w:id="80" w:name="_Toc347217834"/>
      <w:bookmarkStart w:id="81" w:name="_Toc362776397"/>
      <w:bookmarkStart w:id="82" w:name="_Toc364441645"/>
      <w:bookmarkEnd w:id="58"/>
      <w:bookmarkEnd w:id="59"/>
      <w:bookmarkEnd w:id="60"/>
      <w:bookmarkEnd w:id="61"/>
      <w:bookmarkEnd w:id="62"/>
      <w:r w:rsidRPr="0086223D">
        <w:rPr>
          <w:rFonts w:ascii="Times New Roman" w:hAnsi="Times New Roman" w:cs="Times New Roman"/>
          <w:i w:val="0"/>
          <w:sz w:val="24"/>
          <w:szCs w:val="24"/>
        </w:rPr>
        <w:t>3.4. Data Collection Methods</w:t>
      </w:r>
      <w:bookmarkEnd w:id="72"/>
      <w:bookmarkEnd w:id="73"/>
      <w:bookmarkEnd w:id="74"/>
    </w:p>
    <w:p w14:paraId="577010CF" w14:textId="293CC210" w:rsidR="0086223D" w:rsidRPr="00D25491" w:rsidRDefault="0086223D" w:rsidP="00E62866">
      <w:pPr>
        <w:spacing w:line="240" w:lineRule="auto"/>
        <w:jc w:val="both"/>
      </w:pPr>
      <w:r>
        <w:t xml:space="preserve">The researcher </w:t>
      </w:r>
      <w:r w:rsidRPr="00D25491">
        <w:t>use</w:t>
      </w:r>
      <w:r>
        <w:t>d</w:t>
      </w:r>
      <w:r w:rsidRPr="00D25491">
        <w:t xml:space="preserve"> both primary and secondary data as practical means of obtaining information related to the research topic. </w:t>
      </w:r>
      <w:r>
        <w:t>The primary data was</w:t>
      </w:r>
      <w:r w:rsidRPr="00D25491">
        <w:t xml:space="preserve"> obtained using questionnaire, from </w:t>
      </w:r>
      <w:r>
        <w:t>BK</w:t>
      </w:r>
      <w:r w:rsidRPr="00D25491">
        <w:t xml:space="preserve"> e</w:t>
      </w:r>
      <w:r>
        <w:t>mployees. Secondary data was</w:t>
      </w:r>
      <w:r w:rsidRPr="00D25491">
        <w:t xml:space="preserve"> sourced from annual reports of </w:t>
      </w:r>
      <w:r>
        <w:t>BK</w:t>
      </w:r>
      <w:r w:rsidR="00FF250D">
        <w:t xml:space="preserve"> from 2011 to 2015</w:t>
      </w:r>
      <w:r w:rsidRPr="00D25491">
        <w:t xml:space="preserve">. </w:t>
      </w:r>
    </w:p>
    <w:p w14:paraId="52F880DE" w14:textId="31FBE4BA" w:rsidR="0086223D" w:rsidRPr="00D25491" w:rsidRDefault="0086223D" w:rsidP="00E62866">
      <w:pPr>
        <w:spacing w:line="240" w:lineRule="auto"/>
        <w:jc w:val="both"/>
      </w:pPr>
      <w:r>
        <w:t>A questionnaire was</w:t>
      </w:r>
      <w:r w:rsidRPr="00D25491">
        <w:t xml:space="preserve"> used to get perceptions and development status of respondents</w:t>
      </w:r>
      <w:r>
        <w:t>. The questionnaire</w:t>
      </w:r>
      <w:r w:rsidRPr="00D25491">
        <w:t xml:space="preserve"> contain</w:t>
      </w:r>
      <w:r>
        <w:t>ed</w:t>
      </w:r>
      <w:r w:rsidRPr="00D25491">
        <w:t xml:space="preserve"> clos</w:t>
      </w:r>
      <w:r>
        <w:t>ed ended questions which were addressed to the respondents</w:t>
      </w:r>
      <w:r w:rsidRPr="00D25491">
        <w:t>. The advantages of close-ended que</w:t>
      </w:r>
      <w:r>
        <w:t>stions were that the answers were</w:t>
      </w:r>
      <w:r w:rsidRPr="00D25491">
        <w:t xml:space="preserve"> standard, and can be compared from person to person. In collecting secondary data, annual reports </w:t>
      </w:r>
      <w:r>
        <w:t xml:space="preserve">were used. Researcher </w:t>
      </w:r>
      <w:r w:rsidRPr="00D25491">
        <w:t>use</w:t>
      </w:r>
      <w:r>
        <w:t>d</w:t>
      </w:r>
      <w:r w:rsidRPr="00D25491">
        <w:t xml:space="preserve"> financial reports</w:t>
      </w:r>
      <w:r>
        <w:t xml:space="preserve"> of 2010 – 2015 for secondary data</w:t>
      </w:r>
      <w:r w:rsidRPr="00D25491">
        <w:t>.</w:t>
      </w:r>
      <w:r w:rsidR="00444CBF">
        <w:t xml:space="preserve"> </w:t>
      </w:r>
      <w:r w:rsidR="00444CBF" w:rsidRPr="00D25491">
        <w:t>Qualitative</w:t>
      </w:r>
      <w:r w:rsidR="00AC4566">
        <w:t xml:space="preserve"> and quantitative</w:t>
      </w:r>
      <w:r w:rsidR="00444CBF" w:rsidRPr="00D25491">
        <w:t xml:space="preserve"> techniques to get prima</w:t>
      </w:r>
      <w:r w:rsidR="00444CBF">
        <w:t>ry data for the research was</w:t>
      </w:r>
      <w:r w:rsidR="00444CBF" w:rsidRPr="00D25491">
        <w:t xml:space="preserve"> used, where que</w:t>
      </w:r>
      <w:r w:rsidR="00444CBF">
        <w:t>stionnaire and interview were</w:t>
      </w:r>
      <w:r w:rsidR="00444CBF" w:rsidRPr="00D25491">
        <w:t xml:space="preserve"> used.</w:t>
      </w:r>
    </w:p>
    <w:p w14:paraId="2C0B3F0D" w14:textId="0EA2666B" w:rsidR="0086223D" w:rsidRPr="00D25491" w:rsidRDefault="0086223D" w:rsidP="00E62866">
      <w:pPr>
        <w:spacing w:line="240" w:lineRule="auto"/>
        <w:ind w:right="29"/>
        <w:jc w:val="both"/>
      </w:pPr>
      <w:bookmarkStart w:id="83" w:name="_Toc274679435"/>
      <w:bookmarkStart w:id="84" w:name="_Toc391281525"/>
      <w:r w:rsidRPr="00D25491">
        <w:rPr>
          <w:lang w:val="en-GB"/>
        </w:rPr>
        <w:t>In dealing with reliability, the researcher wants to ensure the degree of consistency   and stability of the ins</w:t>
      </w:r>
      <w:r>
        <w:rPr>
          <w:lang w:val="en-GB"/>
        </w:rPr>
        <w:t>trument; hence the research</w:t>
      </w:r>
      <w:r w:rsidRPr="00D25491">
        <w:rPr>
          <w:lang w:val="en-GB"/>
        </w:rPr>
        <w:t xml:space="preserve"> examine</w:t>
      </w:r>
      <w:r>
        <w:rPr>
          <w:lang w:val="en-GB"/>
        </w:rPr>
        <w:t>d</w:t>
      </w:r>
      <w:r w:rsidRPr="00D25491">
        <w:rPr>
          <w:lang w:val="en-GB"/>
        </w:rPr>
        <w:t xml:space="preserve"> several times by checking for reliability in relevance, clarity and ambiguity of items in the instrument. For achieving this, a p</w:t>
      </w:r>
      <w:r>
        <w:rPr>
          <w:lang w:val="en-GB"/>
        </w:rPr>
        <w:t>re-test was</w:t>
      </w:r>
      <w:r w:rsidRPr="00D25491">
        <w:rPr>
          <w:lang w:val="en-GB"/>
        </w:rPr>
        <w:t xml:space="preserve"> carried out. A total </w:t>
      </w:r>
      <w:r>
        <w:rPr>
          <w:lang w:val="en-GB"/>
        </w:rPr>
        <w:t>number of 20 respondents was</w:t>
      </w:r>
      <w:r w:rsidRPr="00D25491">
        <w:rPr>
          <w:lang w:val="en-GB"/>
        </w:rPr>
        <w:t xml:space="preserve"> used for the pretesting. </w:t>
      </w:r>
      <w:r w:rsidRPr="00D25491">
        <w:t>Validity and reliab</w:t>
      </w:r>
      <w:r>
        <w:t>ility of this instrument was</w:t>
      </w:r>
      <w:r w:rsidRPr="00D25491">
        <w:t xml:space="preserve"> done by making pre-tested or pilot study to verify the consistence of the research instrument</w:t>
      </w:r>
      <w:r>
        <w:t xml:space="preserve">s. </w:t>
      </w:r>
      <w:proofErr w:type="spellStart"/>
      <w:r>
        <w:t>Cronbach’s</w:t>
      </w:r>
      <w:proofErr w:type="spellEnd"/>
      <w:r>
        <w:t xml:space="preserve"> Alpha coefficient</w:t>
      </w:r>
      <w:r w:rsidRPr="00D25491">
        <w:t xml:space="preserve"> </w:t>
      </w:r>
      <w:r>
        <w:t>was</w:t>
      </w:r>
      <w:r w:rsidRPr="00D25491">
        <w:t xml:space="preserve"> used to measure internal consistency of the research tool.  Comput</w:t>
      </w:r>
      <w:r>
        <w:t xml:space="preserve">ed </w:t>
      </w:r>
      <w:proofErr w:type="spellStart"/>
      <w:r>
        <w:t>Cronbach’s</w:t>
      </w:r>
      <w:proofErr w:type="spellEnd"/>
      <w:r>
        <w:t xml:space="preserve"> alpha Coefficient</w:t>
      </w:r>
      <w:r w:rsidRPr="00D25491">
        <w:t xml:space="preserve"> </w:t>
      </w:r>
      <w:r>
        <w:t xml:space="preserve">was α = 0.884, this </w:t>
      </w:r>
      <w:r w:rsidRPr="00D25491">
        <w:t>confirm</w:t>
      </w:r>
      <w:r>
        <w:t>ed</w:t>
      </w:r>
      <w:r w:rsidRPr="00D25491">
        <w:t xml:space="preserve"> the reliability of r</w:t>
      </w:r>
      <w:r>
        <w:t>esearch instrument. This was</w:t>
      </w:r>
      <w:r w:rsidRPr="00D25491">
        <w:t xml:space="preserve"> generated after pre-tested research instruments </w:t>
      </w:r>
      <w:r>
        <w:t>where the pilot research was</w:t>
      </w:r>
      <w:r w:rsidRPr="00D25491">
        <w:t xml:space="preserve"> conducted. The validit</w:t>
      </w:r>
      <w:r>
        <w:t>y of research instrument was also</w:t>
      </w:r>
      <w:r w:rsidRPr="00D25491">
        <w:t xml:space="preserve"> tested through </w:t>
      </w:r>
      <w:r>
        <w:t>supervisors</w:t>
      </w:r>
      <w:r w:rsidRPr="00D25491">
        <w:t xml:space="preserve"> in terms of language and content.</w:t>
      </w:r>
    </w:p>
    <w:p w14:paraId="467E994F" w14:textId="77777777" w:rsidR="0086223D" w:rsidRPr="0086223D" w:rsidRDefault="0086223D" w:rsidP="00E62866">
      <w:pPr>
        <w:pStyle w:val="Heading2"/>
        <w:spacing w:line="240" w:lineRule="auto"/>
        <w:rPr>
          <w:rFonts w:ascii="Times New Roman" w:hAnsi="Times New Roman" w:cs="Times New Roman"/>
          <w:i w:val="0"/>
          <w:sz w:val="24"/>
          <w:szCs w:val="24"/>
        </w:rPr>
      </w:pPr>
      <w:bookmarkStart w:id="85" w:name="_Toc407094705"/>
      <w:bookmarkStart w:id="86" w:name="_Toc409290428"/>
      <w:bookmarkStart w:id="87" w:name="_Toc410771156"/>
      <w:bookmarkStart w:id="88" w:name="_Toc451249280"/>
      <w:bookmarkStart w:id="89" w:name="_Toc452487333"/>
      <w:r w:rsidRPr="0086223D">
        <w:rPr>
          <w:rFonts w:ascii="Times New Roman" w:hAnsi="Times New Roman" w:cs="Times New Roman"/>
          <w:i w:val="0"/>
          <w:sz w:val="24"/>
          <w:szCs w:val="24"/>
        </w:rPr>
        <w:t>3.5 Data analysis</w:t>
      </w:r>
      <w:bookmarkEnd w:id="83"/>
      <w:bookmarkEnd w:id="84"/>
      <w:r w:rsidRPr="0086223D">
        <w:rPr>
          <w:rFonts w:ascii="Times New Roman" w:hAnsi="Times New Roman" w:cs="Times New Roman"/>
          <w:i w:val="0"/>
          <w:sz w:val="24"/>
          <w:szCs w:val="24"/>
        </w:rPr>
        <w:t xml:space="preserve"> Procedure</w:t>
      </w:r>
      <w:bookmarkEnd w:id="85"/>
      <w:bookmarkEnd w:id="86"/>
      <w:bookmarkEnd w:id="87"/>
      <w:bookmarkEnd w:id="88"/>
      <w:bookmarkEnd w:id="89"/>
      <w:r w:rsidRPr="0086223D">
        <w:rPr>
          <w:rFonts w:ascii="Times New Roman" w:hAnsi="Times New Roman" w:cs="Times New Roman"/>
          <w:i w:val="0"/>
          <w:sz w:val="24"/>
          <w:szCs w:val="24"/>
        </w:rPr>
        <w:fldChar w:fldCharType="begin"/>
      </w:r>
      <w:r w:rsidRPr="0086223D">
        <w:rPr>
          <w:rFonts w:ascii="Times New Roman" w:hAnsi="Times New Roman" w:cs="Times New Roman"/>
          <w:i w:val="0"/>
          <w:sz w:val="24"/>
          <w:szCs w:val="24"/>
        </w:rPr>
        <w:instrText xml:space="preserve"> TC "</w:instrText>
      </w:r>
      <w:bookmarkStart w:id="90" w:name="_Toc398807280"/>
      <w:r w:rsidRPr="0086223D">
        <w:rPr>
          <w:rFonts w:ascii="Times New Roman" w:hAnsi="Times New Roman" w:cs="Times New Roman"/>
          <w:i w:val="0"/>
          <w:sz w:val="24"/>
          <w:szCs w:val="24"/>
        </w:rPr>
        <w:instrText>3.5 Data analysis Procedure</w:instrText>
      </w:r>
      <w:bookmarkEnd w:id="90"/>
      <w:r w:rsidRPr="0086223D">
        <w:rPr>
          <w:rFonts w:ascii="Times New Roman" w:hAnsi="Times New Roman" w:cs="Times New Roman"/>
          <w:i w:val="0"/>
          <w:sz w:val="24"/>
          <w:szCs w:val="24"/>
        </w:rPr>
        <w:instrText xml:space="preserve">" \f C \l "2" </w:instrText>
      </w:r>
      <w:r w:rsidRPr="0086223D">
        <w:rPr>
          <w:rFonts w:ascii="Times New Roman" w:hAnsi="Times New Roman" w:cs="Times New Roman"/>
          <w:i w:val="0"/>
          <w:sz w:val="24"/>
          <w:szCs w:val="24"/>
        </w:rPr>
        <w:fldChar w:fldCharType="end"/>
      </w:r>
    </w:p>
    <w:p w14:paraId="33FAC4D7" w14:textId="67F16B76" w:rsidR="005819D2" w:rsidRDefault="0086223D" w:rsidP="00E62866">
      <w:pPr>
        <w:spacing w:line="240" w:lineRule="auto"/>
        <w:jc w:val="both"/>
      </w:pPr>
      <w:r w:rsidRPr="00D25491">
        <w:t xml:space="preserve">Having conducted editing, coding and  </w:t>
      </w:r>
      <w:r>
        <w:t xml:space="preserve"> tabulation, the researcher</w:t>
      </w:r>
      <w:r w:rsidRPr="00D25491">
        <w:t xml:space="preserve"> continue</w:t>
      </w:r>
      <w:r>
        <w:t>d</w:t>
      </w:r>
      <w:r w:rsidRPr="00D25491">
        <w:t xml:space="preserve"> to analyze the data. Actual statistical tasks w</w:t>
      </w:r>
      <w:r>
        <w:t>ere</w:t>
      </w:r>
      <w:r w:rsidRPr="00D25491">
        <w:t xml:space="preserve"> taken and frequency distribution of each major variable </w:t>
      </w:r>
      <w:r>
        <w:t>was</w:t>
      </w:r>
      <w:r w:rsidRPr="00D25491">
        <w:t xml:space="preserve"> done. For this study, both qualitative and quantitative data analysis techniques </w:t>
      </w:r>
      <w:r>
        <w:t>were</w:t>
      </w:r>
      <w:r w:rsidRPr="00D25491">
        <w:t xml:space="preserve"> applied using descriptive and </w:t>
      </w:r>
      <w:r w:rsidR="00FF250D">
        <w:t xml:space="preserve">correlational </w:t>
      </w:r>
      <w:r>
        <w:t>statistics</w:t>
      </w:r>
      <w:r w:rsidR="00FF250D">
        <w:t>. T</w:t>
      </w:r>
      <w:r>
        <w:t>his research</w:t>
      </w:r>
      <w:r w:rsidRPr="00D25491">
        <w:t xml:space="preserve"> </w:t>
      </w:r>
      <w:r w:rsidR="00FF250D">
        <w:t>used Pearson correlation</w:t>
      </w:r>
      <w:r w:rsidRPr="00D25491">
        <w:t xml:space="preserve"> analysis to establish relationship between variables under study. It is therefore from reports that th</w:t>
      </w:r>
      <w:r>
        <w:t>e researcher</w:t>
      </w:r>
      <w:r w:rsidRPr="00D25491">
        <w:t xml:space="preserve"> analyze</w:t>
      </w:r>
      <w:r>
        <w:t>d</w:t>
      </w:r>
      <w:r w:rsidRPr="00D25491">
        <w:t xml:space="preserve"> the </w:t>
      </w:r>
      <w:r>
        <w:t>secondary</w:t>
      </w:r>
      <w:r w:rsidRPr="00D25491">
        <w:t xml:space="preserve"> data</w:t>
      </w:r>
      <w:r>
        <w:t xml:space="preserve"> and made comparisons which </w:t>
      </w:r>
      <w:r w:rsidRPr="00D25491">
        <w:t>help</w:t>
      </w:r>
      <w:r>
        <w:t>ed</w:t>
      </w:r>
      <w:r w:rsidRPr="00D25491">
        <w:t xml:space="preserve"> in the drafting of a conclusion and recommenda</w:t>
      </w:r>
      <w:r w:rsidR="00A65101">
        <w:t>tions. The Statistical Package</w:t>
      </w:r>
      <w:r w:rsidRPr="00D25491">
        <w:t xml:space="preserve"> fo</w:t>
      </w:r>
      <w:r w:rsidR="00FF250D">
        <w:t>r Social Sciences (SPSS) and Excel</w:t>
      </w:r>
      <w:r>
        <w:t xml:space="preserve"> were</w:t>
      </w:r>
      <w:r w:rsidRPr="00D25491">
        <w:t xml:space="preserve"> used in this study.</w:t>
      </w:r>
      <w:r w:rsidR="00FF250D">
        <w:t xml:space="preserve"> </w:t>
      </w:r>
      <w:r w:rsidR="00C10583" w:rsidRPr="00C10583">
        <w:t>The major dependent performance indicators used were Return on Asset (ROA), Return on</w:t>
      </w:r>
      <w:r w:rsidR="00FF250D">
        <w:t xml:space="preserve"> </w:t>
      </w:r>
      <w:r w:rsidR="00C10583" w:rsidRPr="00C10583">
        <w:t>Equity (ROE) and Net Interest Margin (NIM.) The major determinan</w:t>
      </w:r>
      <w:r w:rsidR="00C10583">
        <w:t xml:space="preserve">ts (independent variables) were </w:t>
      </w:r>
      <w:r w:rsidR="00C10583" w:rsidRPr="00C10583">
        <w:t>capital adequacy, asset quality, manag</w:t>
      </w:r>
      <w:bookmarkStart w:id="91" w:name="_Toc398271119"/>
      <w:bookmarkStart w:id="92" w:name="_Toc405744540"/>
      <w:bookmarkStart w:id="93" w:name="_Toc409290429"/>
      <w:bookmarkStart w:id="94" w:name="_Toc410771157"/>
      <w:bookmarkStart w:id="95" w:name="_Toc451249281"/>
      <w:r w:rsidR="00525F1D">
        <w:t>ement efficiency and liquidity.</w:t>
      </w:r>
    </w:p>
    <w:p w14:paraId="695465CC" w14:textId="77777777" w:rsidR="00EF6959" w:rsidRDefault="00EF6959" w:rsidP="00E62866">
      <w:pPr>
        <w:spacing w:line="240" w:lineRule="auto"/>
        <w:jc w:val="both"/>
      </w:pPr>
    </w:p>
    <w:p w14:paraId="77441DC2" w14:textId="77777777" w:rsidR="00EF6959" w:rsidRDefault="00EF6959" w:rsidP="00E62866">
      <w:pPr>
        <w:spacing w:line="240" w:lineRule="auto"/>
        <w:jc w:val="both"/>
      </w:pPr>
    </w:p>
    <w:p w14:paraId="0B36831B" w14:textId="77777777" w:rsidR="00EF6959" w:rsidRDefault="00EF6959" w:rsidP="00E62866">
      <w:pPr>
        <w:spacing w:line="240" w:lineRule="auto"/>
        <w:jc w:val="both"/>
      </w:pPr>
    </w:p>
    <w:p w14:paraId="00FC923E" w14:textId="64C7DD61" w:rsidR="0014353F" w:rsidRDefault="00EF6959" w:rsidP="00EF6959">
      <w:pPr>
        <w:pStyle w:val="Caption"/>
        <w:rPr>
          <w:b/>
        </w:rPr>
      </w:pPr>
      <w:r w:rsidRPr="00EF6959">
        <w:rPr>
          <w:b/>
        </w:rPr>
        <w:lastRenderedPageBreak/>
        <w:t xml:space="preserve">Table </w:t>
      </w:r>
      <w:r w:rsidRPr="00EF6959">
        <w:rPr>
          <w:b/>
        </w:rPr>
        <w:fldChar w:fldCharType="begin"/>
      </w:r>
      <w:r w:rsidRPr="00EF6959">
        <w:rPr>
          <w:b/>
        </w:rPr>
        <w:instrText xml:space="preserve"> SEQ Table \* ARABIC </w:instrText>
      </w:r>
      <w:r w:rsidRPr="00EF6959">
        <w:rPr>
          <w:b/>
        </w:rPr>
        <w:fldChar w:fldCharType="separate"/>
      </w:r>
      <w:r w:rsidRPr="00EF6959">
        <w:rPr>
          <w:b/>
          <w:noProof/>
        </w:rPr>
        <w:t>2</w:t>
      </w:r>
      <w:r w:rsidRPr="00EF6959">
        <w:rPr>
          <w:b/>
        </w:rPr>
        <w:fldChar w:fldCharType="end"/>
      </w:r>
      <w:r>
        <w:t>:</w:t>
      </w:r>
      <w:r w:rsidRPr="00FF577C">
        <w:t xml:space="preserve"> Operationalization of the Study Variables</w:t>
      </w:r>
      <w:r>
        <w:rPr>
          <w:b/>
        </w:rPr>
        <w:t xml:space="preserve"> </w:t>
      </w:r>
    </w:p>
    <w:p w14:paraId="5A937BC5" w14:textId="62458096" w:rsidR="0014353F" w:rsidRPr="002B7B34" w:rsidRDefault="0014353F" w:rsidP="00E62866">
      <w:pPr>
        <w:spacing w:line="240" w:lineRule="auto"/>
      </w:pPr>
      <w:r w:rsidRPr="002B7B34">
        <w:t xml:space="preserve">This section presents the measurements that were used to </w:t>
      </w:r>
      <w:r w:rsidR="002B7B34" w:rsidRPr="002B7B34">
        <w:t>operationalize</w:t>
      </w:r>
      <w:r w:rsidRPr="002B7B34">
        <w:t xml:space="preserve"> the study variables.</w:t>
      </w:r>
    </w:p>
    <w:tbl>
      <w:tblPr>
        <w:tblW w:w="9257" w:type="dxa"/>
        <w:tblLook w:val="04A0" w:firstRow="1" w:lastRow="0" w:firstColumn="1" w:lastColumn="0" w:noHBand="0" w:noVBand="1"/>
      </w:tblPr>
      <w:tblGrid>
        <w:gridCol w:w="2077"/>
        <w:gridCol w:w="7180"/>
      </w:tblGrid>
      <w:tr w:rsidR="0014353F" w:rsidRPr="0014353F" w14:paraId="387921FC" w14:textId="77777777" w:rsidTr="002B7B34">
        <w:trPr>
          <w:trHeight w:val="287"/>
        </w:trPr>
        <w:tc>
          <w:tcPr>
            <w:tcW w:w="2077" w:type="dxa"/>
            <w:tcBorders>
              <w:top w:val="single" w:sz="4" w:space="0" w:color="auto"/>
              <w:left w:val="nil"/>
              <w:bottom w:val="single" w:sz="4" w:space="0" w:color="auto"/>
              <w:right w:val="nil"/>
            </w:tcBorders>
            <w:shd w:val="clear" w:color="auto" w:fill="auto"/>
            <w:noWrap/>
            <w:vAlign w:val="bottom"/>
            <w:hideMark/>
          </w:tcPr>
          <w:p w14:paraId="7E18DE26"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Variable</w:t>
            </w:r>
          </w:p>
        </w:tc>
        <w:tc>
          <w:tcPr>
            <w:tcW w:w="7180" w:type="dxa"/>
            <w:tcBorders>
              <w:top w:val="single" w:sz="4" w:space="0" w:color="auto"/>
              <w:left w:val="nil"/>
              <w:bottom w:val="single" w:sz="4" w:space="0" w:color="auto"/>
              <w:right w:val="nil"/>
            </w:tcBorders>
            <w:shd w:val="clear" w:color="auto" w:fill="auto"/>
            <w:noWrap/>
            <w:vAlign w:val="bottom"/>
            <w:hideMark/>
          </w:tcPr>
          <w:p w14:paraId="1B0F63EC"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Measurement</w:t>
            </w:r>
          </w:p>
        </w:tc>
      </w:tr>
      <w:tr w:rsidR="0014353F" w:rsidRPr="0014353F" w14:paraId="3A025A68" w14:textId="77777777" w:rsidTr="002B7B34">
        <w:trPr>
          <w:trHeight w:val="287"/>
        </w:trPr>
        <w:tc>
          <w:tcPr>
            <w:tcW w:w="2077" w:type="dxa"/>
            <w:tcBorders>
              <w:top w:val="nil"/>
              <w:left w:val="nil"/>
              <w:bottom w:val="nil"/>
              <w:right w:val="nil"/>
            </w:tcBorders>
            <w:shd w:val="clear" w:color="auto" w:fill="auto"/>
            <w:noWrap/>
            <w:vAlign w:val="bottom"/>
            <w:hideMark/>
          </w:tcPr>
          <w:p w14:paraId="1A19A4CE"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ROA</w:t>
            </w:r>
          </w:p>
        </w:tc>
        <w:tc>
          <w:tcPr>
            <w:tcW w:w="7180" w:type="dxa"/>
            <w:tcBorders>
              <w:top w:val="nil"/>
              <w:left w:val="nil"/>
              <w:bottom w:val="nil"/>
              <w:right w:val="nil"/>
            </w:tcBorders>
            <w:shd w:val="clear" w:color="auto" w:fill="auto"/>
            <w:noWrap/>
            <w:vAlign w:val="bottom"/>
            <w:hideMark/>
          </w:tcPr>
          <w:p w14:paraId="64D427A9" w14:textId="365E4532" w:rsidR="0014353F" w:rsidRPr="0014353F" w:rsidRDefault="0014353F" w:rsidP="00E62866">
            <w:pPr>
              <w:spacing w:after="0" w:line="240" w:lineRule="auto"/>
              <w:rPr>
                <w:rFonts w:eastAsia="Times New Roman"/>
                <w:color w:val="000000"/>
              </w:rPr>
            </w:pPr>
            <w:r w:rsidRPr="0014353F">
              <w:rPr>
                <w:rFonts w:eastAsia="Times New Roman"/>
                <w:color w:val="000000"/>
              </w:rPr>
              <w:t xml:space="preserve">  Total income to its total asset</w:t>
            </w:r>
            <w:r w:rsidR="005819D2">
              <w:rPr>
                <w:rFonts w:eastAsia="Times New Roman"/>
                <w:color w:val="000000"/>
              </w:rPr>
              <w:t>s</w:t>
            </w:r>
          </w:p>
        </w:tc>
      </w:tr>
      <w:tr w:rsidR="0014353F" w:rsidRPr="0014353F" w14:paraId="3640EAA7" w14:textId="77777777" w:rsidTr="002B7B34">
        <w:trPr>
          <w:trHeight w:val="287"/>
        </w:trPr>
        <w:tc>
          <w:tcPr>
            <w:tcW w:w="2077" w:type="dxa"/>
            <w:tcBorders>
              <w:top w:val="nil"/>
              <w:left w:val="nil"/>
              <w:bottom w:val="nil"/>
              <w:right w:val="nil"/>
            </w:tcBorders>
            <w:shd w:val="clear" w:color="auto" w:fill="auto"/>
            <w:noWrap/>
            <w:vAlign w:val="bottom"/>
            <w:hideMark/>
          </w:tcPr>
          <w:p w14:paraId="075323B9"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ROE</w:t>
            </w:r>
          </w:p>
        </w:tc>
        <w:tc>
          <w:tcPr>
            <w:tcW w:w="7180" w:type="dxa"/>
            <w:tcBorders>
              <w:top w:val="nil"/>
              <w:left w:val="nil"/>
              <w:bottom w:val="nil"/>
              <w:right w:val="nil"/>
            </w:tcBorders>
            <w:shd w:val="clear" w:color="auto" w:fill="auto"/>
            <w:noWrap/>
            <w:vAlign w:val="bottom"/>
            <w:hideMark/>
          </w:tcPr>
          <w:p w14:paraId="1B8E1ED1"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Net Income after Taxes divided by Total Equity Capital</w:t>
            </w:r>
          </w:p>
        </w:tc>
      </w:tr>
      <w:tr w:rsidR="0014353F" w:rsidRPr="0014353F" w14:paraId="56442AA8" w14:textId="77777777" w:rsidTr="002B7B34">
        <w:trPr>
          <w:trHeight w:val="287"/>
        </w:trPr>
        <w:tc>
          <w:tcPr>
            <w:tcW w:w="2077" w:type="dxa"/>
            <w:tcBorders>
              <w:top w:val="nil"/>
              <w:left w:val="nil"/>
              <w:bottom w:val="nil"/>
              <w:right w:val="nil"/>
            </w:tcBorders>
            <w:shd w:val="clear" w:color="auto" w:fill="auto"/>
            <w:noWrap/>
            <w:vAlign w:val="bottom"/>
            <w:hideMark/>
          </w:tcPr>
          <w:p w14:paraId="7376E161"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NIM</w:t>
            </w:r>
          </w:p>
        </w:tc>
        <w:tc>
          <w:tcPr>
            <w:tcW w:w="7180" w:type="dxa"/>
            <w:tcBorders>
              <w:top w:val="nil"/>
              <w:left w:val="nil"/>
              <w:bottom w:val="nil"/>
              <w:right w:val="nil"/>
            </w:tcBorders>
            <w:shd w:val="clear" w:color="auto" w:fill="auto"/>
            <w:noWrap/>
            <w:vAlign w:val="bottom"/>
            <w:hideMark/>
          </w:tcPr>
          <w:p w14:paraId="32B148D7" w14:textId="213F539A" w:rsidR="0014353F" w:rsidRPr="0014353F" w:rsidRDefault="0014353F" w:rsidP="00E62866">
            <w:pPr>
              <w:spacing w:after="0" w:line="240" w:lineRule="auto"/>
              <w:rPr>
                <w:rFonts w:eastAsia="Times New Roman"/>
                <w:color w:val="000000"/>
              </w:rPr>
            </w:pPr>
            <w:r w:rsidRPr="0014353F">
              <w:rPr>
                <w:rFonts w:eastAsia="Times New Roman"/>
                <w:color w:val="000000"/>
              </w:rPr>
              <w:t>A percentage of earns on loans in a time period and other assets minus the interest</w:t>
            </w:r>
            <w:r w:rsidR="002B7B34">
              <w:rPr>
                <w:rFonts w:eastAsia="Times New Roman"/>
                <w:color w:val="000000"/>
              </w:rPr>
              <w:t xml:space="preserve"> </w:t>
            </w:r>
            <w:r w:rsidR="002B7B34" w:rsidRPr="0014353F">
              <w:rPr>
                <w:rFonts w:eastAsia="Times New Roman"/>
                <w:color w:val="000000"/>
              </w:rPr>
              <w:t>paid on borrowed funds divided by the average</w:t>
            </w:r>
            <w:r w:rsidR="002B7B34">
              <w:rPr>
                <w:rFonts w:eastAsia="Times New Roman"/>
                <w:color w:val="000000"/>
              </w:rPr>
              <w:t xml:space="preserve"> </w:t>
            </w:r>
            <w:r w:rsidR="002B7B34" w:rsidRPr="0014353F">
              <w:rPr>
                <w:rFonts w:eastAsia="Times New Roman"/>
                <w:color w:val="000000"/>
              </w:rPr>
              <w:t>amount</w:t>
            </w:r>
          </w:p>
        </w:tc>
      </w:tr>
      <w:tr w:rsidR="0014353F" w:rsidRPr="0014353F" w14:paraId="4C6D83F6" w14:textId="77777777" w:rsidTr="002B7B34">
        <w:trPr>
          <w:trHeight w:val="287"/>
        </w:trPr>
        <w:tc>
          <w:tcPr>
            <w:tcW w:w="2077" w:type="dxa"/>
            <w:tcBorders>
              <w:top w:val="nil"/>
              <w:left w:val="nil"/>
              <w:bottom w:val="nil"/>
              <w:right w:val="nil"/>
            </w:tcBorders>
            <w:shd w:val="clear" w:color="auto" w:fill="auto"/>
            <w:noWrap/>
            <w:vAlign w:val="bottom"/>
            <w:hideMark/>
          </w:tcPr>
          <w:p w14:paraId="102564F9" w14:textId="77777777" w:rsidR="0014353F" w:rsidRPr="0014353F" w:rsidRDefault="0014353F" w:rsidP="00E62866">
            <w:pPr>
              <w:spacing w:after="0" w:line="240" w:lineRule="auto"/>
              <w:rPr>
                <w:rFonts w:eastAsia="Times New Roman"/>
                <w:color w:val="000000"/>
              </w:rPr>
            </w:pPr>
          </w:p>
        </w:tc>
        <w:tc>
          <w:tcPr>
            <w:tcW w:w="7180" w:type="dxa"/>
            <w:tcBorders>
              <w:top w:val="nil"/>
              <w:left w:val="nil"/>
              <w:bottom w:val="nil"/>
              <w:right w:val="nil"/>
            </w:tcBorders>
            <w:shd w:val="clear" w:color="auto" w:fill="auto"/>
            <w:noWrap/>
            <w:vAlign w:val="bottom"/>
            <w:hideMark/>
          </w:tcPr>
          <w:p w14:paraId="059F5431" w14:textId="0173FE44" w:rsidR="0014353F" w:rsidRPr="0014353F" w:rsidRDefault="0014353F" w:rsidP="00E62866">
            <w:pPr>
              <w:spacing w:after="0" w:line="240" w:lineRule="auto"/>
              <w:rPr>
                <w:rFonts w:eastAsia="Times New Roman"/>
                <w:color w:val="000000"/>
              </w:rPr>
            </w:pPr>
            <w:proofErr w:type="gramStart"/>
            <w:r w:rsidRPr="0014353F">
              <w:rPr>
                <w:rFonts w:eastAsia="Times New Roman"/>
                <w:color w:val="000000"/>
              </w:rPr>
              <w:t>earning</w:t>
            </w:r>
            <w:proofErr w:type="gramEnd"/>
            <w:r w:rsidRPr="0014353F">
              <w:rPr>
                <w:rFonts w:eastAsia="Times New Roman"/>
                <w:color w:val="000000"/>
              </w:rPr>
              <w:t xml:space="preserve"> assets.</w:t>
            </w:r>
          </w:p>
        </w:tc>
      </w:tr>
      <w:tr w:rsidR="0014353F" w:rsidRPr="0014353F" w14:paraId="65C2315E" w14:textId="77777777" w:rsidTr="002B7B34">
        <w:trPr>
          <w:trHeight w:val="287"/>
        </w:trPr>
        <w:tc>
          <w:tcPr>
            <w:tcW w:w="2077" w:type="dxa"/>
            <w:tcBorders>
              <w:top w:val="nil"/>
              <w:left w:val="nil"/>
              <w:bottom w:val="nil"/>
              <w:right w:val="nil"/>
            </w:tcBorders>
            <w:shd w:val="clear" w:color="auto" w:fill="auto"/>
            <w:noWrap/>
            <w:vAlign w:val="bottom"/>
            <w:hideMark/>
          </w:tcPr>
          <w:p w14:paraId="206C5BFF"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Capital Adequacy</w:t>
            </w:r>
          </w:p>
        </w:tc>
        <w:tc>
          <w:tcPr>
            <w:tcW w:w="7180" w:type="dxa"/>
            <w:tcBorders>
              <w:top w:val="nil"/>
              <w:left w:val="nil"/>
              <w:bottom w:val="nil"/>
              <w:right w:val="nil"/>
            </w:tcBorders>
            <w:shd w:val="clear" w:color="auto" w:fill="auto"/>
            <w:noWrap/>
            <w:vAlign w:val="bottom"/>
            <w:hideMark/>
          </w:tcPr>
          <w:p w14:paraId="78120120"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Total Capital to Total Asset</w:t>
            </w:r>
          </w:p>
        </w:tc>
      </w:tr>
      <w:tr w:rsidR="0014353F" w:rsidRPr="0014353F" w14:paraId="7FDBC8BE" w14:textId="77777777" w:rsidTr="002B7B34">
        <w:trPr>
          <w:trHeight w:val="287"/>
        </w:trPr>
        <w:tc>
          <w:tcPr>
            <w:tcW w:w="2077" w:type="dxa"/>
            <w:tcBorders>
              <w:top w:val="nil"/>
              <w:left w:val="nil"/>
              <w:bottom w:val="nil"/>
              <w:right w:val="nil"/>
            </w:tcBorders>
            <w:shd w:val="clear" w:color="auto" w:fill="auto"/>
            <w:noWrap/>
            <w:vAlign w:val="bottom"/>
            <w:hideMark/>
          </w:tcPr>
          <w:p w14:paraId="65ECD004"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Asset Quality</w:t>
            </w:r>
          </w:p>
        </w:tc>
        <w:tc>
          <w:tcPr>
            <w:tcW w:w="7180" w:type="dxa"/>
            <w:tcBorders>
              <w:top w:val="nil"/>
              <w:left w:val="nil"/>
              <w:bottom w:val="nil"/>
              <w:right w:val="nil"/>
            </w:tcBorders>
            <w:shd w:val="clear" w:color="auto" w:fill="auto"/>
            <w:noWrap/>
            <w:vAlign w:val="bottom"/>
            <w:hideMark/>
          </w:tcPr>
          <w:p w14:paraId="48F526BC"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Non-performing loans to total loans</w:t>
            </w:r>
          </w:p>
        </w:tc>
      </w:tr>
      <w:tr w:rsidR="0014353F" w:rsidRPr="0014353F" w14:paraId="1AC2D935" w14:textId="77777777" w:rsidTr="002B7B34">
        <w:trPr>
          <w:trHeight w:val="287"/>
        </w:trPr>
        <w:tc>
          <w:tcPr>
            <w:tcW w:w="2077" w:type="dxa"/>
            <w:tcBorders>
              <w:top w:val="nil"/>
              <w:left w:val="nil"/>
              <w:bottom w:val="nil"/>
              <w:right w:val="nil"/>
            </w:tcBorders>
            <w:shd w:val="clear" w:color="auto" w:fill="auto"/>
            <w:noWrap/>
            <w:vAlign w:val="bottom"/>
            <w:hideMark/>
          </w:tcPr>
          <w:p w14:paraId="2DB1280C"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Management Efficiency</w:t>
            </w:r>
          </w:p>
        </w:tc>
        <w:tc>
          <w:tcPr>
            <w:tcW w:w="7180" w:type="dxa"/>
            <w:tcBorders>
              <w:top w:val="nil"/>
              <w:left w:val="nil"/>
              <w:bottom w:val="nil"/>
              <w:right w:val="nil"/>
            </w:tcBorders>
            <w:shd w:val="clear" w:color="auto" w:fill="auto"/>
            <w:noWrap/>
            <w:vAlign w:val="bottom"/>
            <w:hideMark/>
          </w:tcPr>
          <w:p w14:paraId="005A1421"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Total Operating Revenue to Total Profit</w:t>
            </w:r>
          </w:p>
        </w:tc>
      </w:tr>
      <w:tr w:rsidR="0014353F" w:rsidRPr="0014353F" w14:paraId="59EDAE18" w14:textId="77777777" w:rsidTr="002B7B34">
        <w:trPr>
          <w:trHeight w:val="287"/>
        </w:trPr>
        <w:tc>
          <w:tcPr>
            <w:tcW w:w="2077" w:type="dxa"/>
            <w:tcBorders>
              <w:top w:val="nil"/>
              <w:left w:val="nil"/>
              <w:bottom w:val="nil"/>
              <w:right w:val="nil"/>
            </w:tcBorders>
            <w:shd w:val="clear" w:color="auto" w:fill="auto"/>
            <w:noWrap/>
            <w:vAlign w:val="bottom"/>
            <w:hideMark/>
          </w:tcPr>
          <w:p w14:paraId="401387F8"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Liquidity</w:t>
            </w:r>
          </w:p>
        </w:tc>
        <w:tc>
          <w:tcPr>
            <w:tcW w:w="7180" w:type="dxa"/>
            <w:tcBorders>
              <w:top w:val="nil"/>
              <w:left w:val="nil"/>
              <w:bottom w:val="nil"/>
              <w:right w:val="nil"/>
            </w:tcBorders>
            <w:shd w:val="clear" w:color="auto" w:fill="auto"/>
            <w:noWrap/>
            <w:vAlign w:val="bottom"/>
            <w:hideMark/>
          </w:tcPr>
          <w:p w14:paraId="4854026B"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Total Loans to Total Customer Deposit</w:t>
            </w:r>
          </w:p>
        </w:tc>
      </w:tr>
      <w:tr w:rsidR="0014353F" w:rsidRPr="0014353F" w14:paraId="696A2A32" w14:textId="77777777" w:rsidTr="002B7B34">
        <w:trPr>
          <w:trHeight w:val="287"/>
        </w:trPr>
        <w:tc>
          <w:tcPr>
            <w:tcW w:w="2077" w:type="dxa"/>
            <w:tcBorders>
              <w:top w:val="nil"/>
              <w:left w:val="nil"/>
              <w:bottom w:val="nil"/>
              <w:right w:val="nil"/>
            </w:tcBorders>
            <w:shd w:val="clear" w:color="auto" w:fill="auto"/>
            <w:noWrap/>
            <w:vAlign w:val="bottom"/>
            <w:hideMark/>
          </w:tcPr>
          <w:p w14:paraId="0E3CA5CA"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GDP</w:t>
            </w:r>
          </w:p>
        </w:tc>
        <w:tc>
          <w:tcPr>
            <w:tcW w:w="7180" w:type="dxa"/>
            <w:tcBorders>
              <w:top w:val="nil"/>
              <w:left w:val="nil"/>
              <w:bottom w:val="nil"/>
              <w:right w:val="nil"/>
            </w:tcBorders>
            <w:shd w:val="clear" w:color="auto" w:fill="auto"/>
            <w:noWrap/>
            <w:vAlign w:val="bottom"/>
            <w:hideMark/>
          </w:tcPr>
          <w:p w14:paraId="47B0EC68"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Yearly Gross Domestic product</w:t>
            </w:r>
          </w:p>
        </w:tc>
      </w:tr>
      <w:tr w:rsidR="0014353F" w:rsidRPr="0014353F" w14:paraId="00B759DB" w14:textId="77777777" w:rsidTr="002B7B34">
        <w:trPr>
          <w:trHeight w:val="287"/>
        </w:trPr>
        <w:tc>
          <w:tcPr>
            <w:tcW w:w="2077" w:type="dxa"/>
            <w:tcBorders>
              <w:top w:val="nil"/>
              <w:left w:val="nil"/>
              <w:bottom w:val="nil"/>
              <w:right w:val="nil"/>
            </w:tcBorders>
            <w:shd w:val="clear" w:color="auto" w:fill="auto"/>
            <w:noWrap/>
            <w:vAlign w:val="bottom"/>
            <w:hideMark/>
          </w:tcPr>
          <w:p w14:paraId="28E1A6E4"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Inflation</w:t>
            </w:r>
          </w:p>
        </w:tc>
        <w:tc>
          <w:tcPr>
            <w:tcW w:w="7180" w:type="dxa"/>
            <w:tcBorders>
              <w:top w:val="nil"/>
              <w:left w:val="nil"/>
              <w:bottom w:val="nil"/>
              <w:right w:val="nil"/>
            </w:tcBorders>
            <w:shd w:val="clear" w:color="auto" w:fill="auto"/>
            <w:noWrap/>
            <w:vAlign w:val="bottom"/>
            <w:hideMark/>
          </w:tcPr>
          <w:p w14:paraId="73CC53CA"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Yearly average Inflation</w:t>
            </w:r>
          </w:p>
        </w:tc>
      </w:tr>
      <w:tr w:rsidR="0014353F" w:rsidRPr="0014353F" w14:paraId="63F9AD3A" w14:textId="77777777" w:rsidTr="002B7B34">
        <w:trPr>
          <w:trHeight w:val="287"/>
        </w:trPr>
        <w:tc>
          <w:tcPr>
            <w:tcW w:w="2077" w:type="dxa"/>
            <w:tcBorders>
              <w:top w:val="nil"/>
              <w:left w:val="nil"/>
              <w:bottom w:val="single" w:sz="4" w:space="0" w:color="auto"/>
              <w:right w:val="nil"/>
            </w:tcBorders>
            <w:shd w:val="clear" w:color="auto" w:fill="auto"/>
            <w:noWrap/>
            <w:vAlign w:val="bottom"/>
            <w:hideMark/>
          </w:tcPr>
          <w:p w14:paraId="14FEE893"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Interest rate</w:t>
            </w:r>
          </w:p>
        </w:tc>
        <w:tc>
          <w:tcPr>
            <w:tcW w:w="7180" w:type="dxa"/>
            <w:tcBorders>
              <w:top w:val="nil"/>
              <w:left w:val="nil"/>
              <w:bottom w:val="single" w:sz="4" w:space="0" w:color="auto"/>
              <w:right w:val="nil"/>
            </w:tcBorders>
            <w:shd w:val="clear" w:color="auto" w:fill="auto"/>
            <w:noWrap/>
            <w:vAlign w:val="bottom"/>
            <w:hideMark/>
          </w:tcPr>
          <w:p w14:paraId="122D03DB" w14:textId="77777777" w:rsidR="0014353F" w:rsidRPr="0014353F" w:rsidRDefault="0014353F" w:rsidP="00E62866">
            <w:pPr>
              <w:spacing w:after="0" w:line="240" w:lineRule="auto"/>
              <w:rPr>
                <w:rFonts w:eastAsia="Times New Roman"/>
                <w:color w:val="000000"/>
              </w:rPr>
            </w:pPr>
            <w:r w:rsidRPr="0014353F">
              <w:rPr>
                <w:rFonts w:eastAsia="Times New Roman"/>
                <w:color w:val="000000"/>
              </w:rPr>
              <w:t>Yearly average Interest rate</w:t>
            </w:r>
          </w:p>
        </w:tc>
      </w:tr>
    </w:tbl>
    <w:p w14:paraId="098FA63E" w14:textId="6C4A4047" w:rsidR="00A41B35" w:rsidRDefault="002B7B34" w:rsidP="00E62866">
      <w:pPr>
        <w:spacing w:line="240" w:lineRule="auto"/>
        <w:jc w:val="both"/>
        <w:rPr>
          <w:b/>
          <w:noProof/>
        </w:rPr>
      </w:pPr>
      <w:r w:rsidRPr="002B7B34">
        <w:rPr>
          <w:b/>
        </w:rPr>
        <w:t xml:space="preserve">Source: </w:t>
      </w:r>
      <w:r w:rsidRPr="002B7B34">
        <w:rPr>
          <w:b/>
          <w:noProof/>
        </w:rPr>
        <w:t>(Athanasoglou, Sophocles, &amp; Delis, 2008)</w:t>
      </w:r>
      <w:bookmarkEnd w:id="91"/>
      <w:bookmarkEnd w:id="92"/>
      <w:bookmarkEnd w:id="93"/>
      <w:bookmarkEnd w:id="94"/>
      <w:bookmarkEnd w:id="95"/>
    </w:p>
    <w:p w14:paraId="2FB5A89B" w14:textId="1B8410AC" w:rsidR="00EF6959" w:rsidRPr="00EF6959" w:rsidRDefault="00EF6959" w:rsidP="00EF6959">
      <w:pPr>
        <w:pStyle w:val="Heading1"/>
        <w:spacing w:before="100" w:beforeAutospacing="1" w:after="100" w:afterAutospacing="1" w:line="240" w:lineRule="auto"/>
        <w:ind w:left="432" w:hanging="432"/>
        <w:contextualSpacing/>
        <w:jc w:val="both"/>
        <w:rPr>
          <w:rFonts w:ascii="Times New Roman" w:hAnsi="Times New Roman" w:cs="Times New Roman"/>
          <w:b/>
          <w:color w:val="auto"/>
          <w:sz w:val="24"/>
          <w:szCs w:val="24"/>
        </w:rPr>
      </w:pPr>
      <w:r w:rsidRPr="00EF6959">
        <w:rPr>
          <w:rFonts w:ascii="Times New Roman" w:hAnsi="Times New Roman" w:cs="Times New Roman"/>
          <w:b/>
          <w:noProof/>
          <w:color w:val="auto"/>
          <w:sz w:val="24"/>
          <w:szCs w:val="24"/>
        </w:rPr>
        <w:t xml:space="preserve">4. </w:t>
      </w:r>
      <w:bookmarkStart w:id="96" w:name="_Toc403118056"/>
      <w:bookmarkStart w:id="97" w:name="_Toc405999580"/>
      <w:bookmarkStart w:id="98" w:name="_Toc415495731"/>
      <w:bookmarkStart w:id="99" w:name="_Toc447305584"/>
      <w:bookmarkStart w:id="100" w:name="_Toc452292634"/>
      <w:bookmarkStart w:id="101" w:name="_Toc452487342"/>
      <w:bookmarkStart w:id="102" w:name="_Toc338431127"/>
      <w:bookmarkStart w:id="103" w:name="_Toc369863005"/>
      <w:r>
        <w:rPr>
          <w:rFonts w:ascii="Times New Roman" w:hAnsi="Times New Roman" w:cs="Times New Roman"/>
          <w:b/>
          <w:color w:val="auto"/>
          <w:sz w:val="24"/>
          <w:szCs w:val="24"/>
        </w:rPr>
        <w:t>Summary, conclusion</w:t>
      </w:r>
      <w:r w:rsidRPr="00EF6959">
        <w:rPr>
          <w:rFonts w:ascii="Times New Roman" w:hAnsi="Times New Roman" w:cs="Times New Roman"/>
          <w:b/>
          <w:color w:val="auto"/>
          <w:sz w:val="24"/>
          <w:szCs w:val="24"/>
        </w:rPr>
        <w:t xml:space="preserve"> and recommendation</w:t>
      </w:r>
      <w:bookmarkEnd w:id="96"/>
      <w:bookmarkEnd w:id="97"/>
      <w:bookmarkEnd w:id="98"/>
      <w:bookmarkEnd w:id="99"/>
      <w:bookmarkEnd w:id="100"/>
      <w:bookmarkEnd w:id="101"/>
      <w:bookmarkEnd w:id="102"/>
      <w:bookmarkEnd w:id="103"/>
    </w:p>
    <w:p w14:paraId="67121819" w14:textId="1108A4AC" w:rsidR="00EF6959" w:rsidRPr="003670E2" w:rsidRDefault="00EF6959" w:rsidP="00EF6959">
      <w:pPr>
        <w:pStyle w:val="Heading2"/>
        <w:spacing w:before="100" w:beforeAutospacing="1" w:after="100" w:afterAutospacing="1" w:line="240" w:lineRule="auto"/>
        <w:ind w:left="576" w:hanging="576"/>
        <w:contextualSpacing/>
        <w:rPr>
          <w:rFonts w:ascii="Times New Roman" w:hAnsi="Times New Roman" w:cs="Times New Roman"/>
          <w:b w:val="0"/>
          <w:i w:val="0"/>
          <w:sz w:val="24"/>
          <w:szCs w:val="24"/>
        </w:rPr>
      </w:pPr>
      <w:bookmarkStart w:id="104" w:name="_Toc338431128"/>
      <w:bookmarkStart w:id="105" w:name="_Toc369863006"/>
      <w:bookmarkStart w:id="106" w:name="_Toc403118057"/>
      <w:bookmarkStart w:id="107" w:name="_Toc405999581"/>
      <w:bookmarkStart w:id="108" w:name="_Toc415495732"/>
      <w:bookmarkStart w:id="109" w:name="_Toc447305585"/>
      <w:bookmarkStart w:id="110" w:name="_Toc452292635"/>
      <w:bookmarkStart w:id="111" w:name="_Toc452487343"/>
      <w:r>
        <w:rPr>
          <w:rFonts w:ascii="Times New Roman" w:hAnsi="Times New Roman" w:cs="Times New Roman"/>
          <w:i w:val="0"/>
          <w:sz w:val="24"/>
          <w:szCs w:val="24"/>
        </w:rPr>
        <w:t>4</w:t>
      </w:r>
      <w:r w:rsidRPr="003670E2">
        <w:rPr>
          <w:rFonts w:ascii="Times New Roman" w:hAnsi="Times New Roman" w:cs="Times New Roman"/>
          <w:i w:val="0"/>
          <w:sz w:val="24"/>
          <w:szCs w:val="24"/>
        </w:rPr>
        <w:t>.0 Introduction</w:t>
      </w:r>
      <w:bookmarkEnd w:id="104"/>
      <w:bookmarkEnd w:id="105"/>
      <w:bookmarkEnd w:id="106"/>
      <w:bookmarkEnd w:id="107"/>
      <w:bookmarkEnd w:id="108"/>
      <w:bookmarkEnd w:id="109"/>
      <w:bookmarkEnd w:id="110"/>
      <w:bookmarkEnd w:id="111"/>
    </w:p>
    <w:p w14:paraId="7790C4BF" w14:textId="7DA21440" w:rsidR="00EF6959" w:rsidRPr="00EF6959" w:rsidRDefault="00EF6959" w:rsidP="00EF6959">
      <w:pPr>
        <w:spacing w:before="100" w:beforeAutospacing="1" w:after="100" w:afterAutospacing="1" w:line="240" w:lineRule="auto"/>
        <w:contextualSpacing/>
        <w:jc w:val="both"/>
      </w:pPr>
      <w:bookmarkStart w:id="112" w:name="_Toc364850416"/>
      <w:bookmarkStart w:id="113" w:name="_Toc366749269"/>
      <w:bookmarkStart w:id="114" w:name="_Toc369863008"/>
      <w:bookmarkStart w:id="115" w:name="_Toc381862177"/>
      <w:r w:rsidRPr="00A6560B">
        <w:t xml:space="preserve">This part presents the summary of the research findings in view of the objectives of the research, the findings in relation </w:t>
      </w:r>
      <w:bookmarkEnd w:id="112"/>
      <w:bookmarkEnd w:id="113"/>
      <w:bookmarkEnd w:id="114"/>
      <w:r w:rsidRPr="00A6560B">
        <w:t xml:space="preserve">to </w:t>
      </w:r>
      <w:bookmarkEnd w:id="115"/>
      <w:r>
        <w:t>economic factors and profitability of commercial banks</w:t>
      </w:r>
      <w:r w:rsidRPr="00A6560B">
        <w:t xml:space="preserve">. The researcher found out that the contacted respondents were of reasonable age and in position to give careful and well analyzed information that could facilitate making of necessary and relevant conclusions, employees of </w:t>
      </w:r>
      <w:r>
        <w:rPr>
          <w:iCs/>
        </w:rPr>
        <w:t xml:space="preserve">bank of Kigali </w:t>
      </w:r>
      <w:r w:rsidRPr="00A6560B">
        <w:t xml:space="preserve">were educated enough to understand issues related to </w:t>
      </w:r>
      <w:r>
        <w:rPr>
          <w:iCs/>
        </w:rPr>
        <w:t>the research problem and objectives</w:t>
      </w:r>
      <w:r w:rsidRPr="00A6560B">
        <w:t>. Therefore the views they gave were important and relevant in making reliable conclusions that can facilitate deci</w:t>
      </w:r>
      <w:r>
        <w:t>sion making and that respondent</w:t>
      </w:r>
      <w:r w:rsidRPr="00A6560B">
        <w:t xml:space="preserve"> had worked with the </w:t>
      </w:r>
      <w:r>
        <w:rPr>
          <w:iCs/>
        </w:rPr>
        <w:t>b</w:t>
      </w:r>
      <w:r w:rsidRPr="00A6560B">
        <w:rPr>
          <w:iCs/>
        </w:rPr>
        <w:t xml:space="preserve">ank of Kigali </w:t>
      </w:r>
      <w:r w:rsidRPr="00A6560B">
        <w:t xml:space="preserve">for the period long enough to make them understand issues related to </w:t>
      </w:r>
      <w:r>
        <w:rPr>
          <w:iCs/>
        </w:rPr>
        <w:t>research topic.</w:t>
      </w:r>
    </w:p>
    <w:p w14:paraId="5E6210A6" w14:textId="45963F9A" w:rsidR="00C502CF" w:rsidRDefault="00EF6959" w:rsidP="00E62866">
      <w:pPr>
        <w:pStyle w:val="Heading2"/>
        <w:spacing w:line="240" w:lineRule="auto"/>
        <w:rPr>
          <w:rFonts w:ascii="Times New Roman" w:hAnsi="Times New Roman"/>
          <w:i w:val="0"/>
          <w:sz w:val="24"/>
          <w:szCs w:val="24"/>
        </w:rPr>
      </w:pPr>
      <w:bookmarkStart w:id="116" w:name="_Toc452487341"/>
      <w:r>
        <w:rPr>
          <w:rFonts w:ascii="Times New Roman" w:hAnsi="Times New Roman" w:cs="Times New Roman"/>
          <w:i w:val="0"/>
          <w:sz w:val="24"/>
          <w:szCs w:val="24"/>
        </w:rPr>
        <w:t>4.1.</w:t>
      </w:r>
      <w:r w:rsidR="00C6226F" w:rsidRPr="00C05CB7">
        <w:rPr>
          <w:rFonts w:ascii="Times New Roman" w:hAnsi="Times New Roman" w:cs="Times New Roman"/>
          <w:i w:val="0"/>
          <w:sz w:val="24"/>
          <w:szCs w:val="24"/>
        </w:rPr>
        <w:t xml:space="preserve"> </w:t>
      </w:r>
      <w:bookmarkEnd w:id="116"/>
      <w:r w:rsidR="00BC4EC7">
        <w:rPr>
          <w:rFonts w:ascii="Times New Roman" w:hAnsi="Times New Roman"/>
          <w:i w:val="0"/>
          <w:sz w:val="24"/>
          <w:szCs w:val="24"/>
        </w:rPr>
        <w:t xml:space="preserve">Summary of findings </w:t>
      </w:r>
    </w:p>
    <w:p w14:paraId="1EC72CB7" w14:textId="4C43DC79" w:rsidR="003F2F5F" w:rsidRDefault="00C622E8" w:rsidP="00E62866">
      <w:pPr>
        <w:spacing w:line="240" w:lineRule="auto"/>
        <w:jc w:val="both"/>
      </w:pPr>
      <w:r>
        <w:t xml:space="preserve">This subsection focuses on both primary and </w:t>
      </w:r>
      <w:r w:rsidR="0086608B">
        <w:t>secondary data analysis, the secondary data were collected from annual reports 2011 – 2015. These data facilitate researcher to indicate</w:t>
      </w:r>
      <w:r w:rsidR="0086608B" w:rsidRPr="0086608B">
        <w:t xml:space="preserve"> relationship between economic factors and profitability of commercial banks</w:t>
      </w:r>
      <w:r w:rsidR="0086608B">
        <w:t>.</w:t>
      </w:r>
      <w:r w:rsidR="00997021">
        <w:t xml:space="preserve"> </w:t>
      </w:r>
      <w:r w:rsidR="00997021" w:rsidRPr="00C10583">
        <w:t xml:space="preserve">The major dependent performance indicators used were </w:t>
      </w:r>
      <w:r>
        <w:t xml:space="preserve">ROA, </w:t>
      </w:r>
      <w:r w:rsidR="00997021" w:rsidRPr="00C10583">
        <w:t>RO</w:t>
      </w:r>
      <w:r>
        <w:t>E and NIM.</w:t>
      </w:r>
      <w:r w:rsidR="00997021" w:rsidRPr="00C10583">
        <w:t xml:space="preserve"> The major determinan</w:t>
      </w:r>
      <w:r>
        <w:t xml:space="preserve">ts independent variables </w:t>
      </w:r>
      <w:r w:rsidR="00997021">
        <w:t xml:space="preserve">were </w:t>
      </w:r>
      <w:r w:rsidR="00997021" w:rsidRPr="00C10583">
        <w:t>capital adequacy, asset qua</w:t>
      </w:r>
      <w:r w:rsidR="00EF6959">
        <w:t>lity, efficiency and liquidity.</w:t>
      </w:r>
    </w:p>
    <w:p w14:paraId="4784C9F0" w14:textId="77777777" w:rsidR="00EF6959" w:rsidRDefault="00EF6959" w:rsidP="00E62866">
      <w:pPr>
        <w:spacing w:line="240" w:lineRule="auto"/>
        <w:jc w:val="both"/>
      </w:pPr>
    </w:p>
    <w:p w14:paraId="626DE818" w14:textId="77777777" w:rsidR="00EF6959" w:rsidRDefault="00EF6959" w:rsidP="00E62866">
      <w:pPr>
        <w:spacing w:line="240" w:lineRule="auto"/>
        <w:jc w:val="both"/>
      </w:pPr>
    </w:p>
    <w:p w14:paraId="2D6DCE44" w14:textId="77777777" w:rsidR="00EF6959" w:rsidRDefault="00EF6959" w:rsidP="00E62866">
      <w:pPr>
        <w:spacing w:line="240" w:lineRule="auto"/>
        <w:jc w:val="both"/>
      </w:pPr>
    </w:p>
    <w:p w14:paraId="4E54FDB8" w14:textId="77777777" w:rsidR="00EF6959" w:rsidRDefault="00EF6959" w:rsidP="00E62866">
      <w:pPr>
        <w:spacing w:line="240" w:lineRule="auto"/>
        <w:jc w:val="both"/>
      </w:pPr>
    </w:p>
    <w:p w14:paraId="14419144" w14:textId="6BF0927F" w:rsidR="00954589" w:rsidRPr="0095337E" w:rsidRDefault="00EF6959" w:rsidP="00E62866">
      <w:pPr>
        <w:pStyle w:val="Caption"/>
        <w:spacing w:line="240" w:lineRule="auto"/>
        <w:rPr>
          <w:color w:val="000000"/>
        </w:rPr>
      </w:pPr>
      <w:bookmarkStart w:id="117" w:name="_Toc455605350"/>
      <w:r>
        <w:rPr>
          <w:b/>
        </w:rPr>
        <w:lastRenderedPageBreak/>
        <w:t xml:space="preserve">Table </w:t>
      </w:r>
      <w:r w:rsidR="00954589" w:rsidRPr="00F91378">
        <w:rPr>
          <w:b/>
        </w:rPr>
        <w:fldChar w:fldCharType="begin"/>
      </w:r>
      <w:r w:rsidR="00954589" w:rsidRPr="00F91378">
        <w:rPr>
          <w:b/>
        </w:rPr>
        <w:instrText xml:space="preserve"> SEQ Table \* ARABIC </w:instrText>
      </w:r>
      <w:r w:rsidR="00954589" w:rsidRPr="00F91378">
        <w:rPr>
          <w:b/>
        </w:rPr>
        <w:fldChar w:fldCharType="separate"/>
      </w:r>
      <w:r>
        <w:rPr>
          <w:b/>
          <w:noProof/>
        </w:rPr>
        <w:t>3</w:t>
      </w:r>
      <w:r w:rsidR="00954589" w:rsidRPr="00F91378">
        <w:rPr>
          <w:b/>
        </w:rPr>
        <w:fldChar w:fldCharType="end"/>
      </w:r>
      <w:r w:rsidR="00954589" w:rsidRPr="00F91378">
        <w:rPr>
          <w:b/>
        </w:rPr>
        <w:t xml:space="preserve">: </w:t>
      </w:r>
      <w:r w:rsidR="00954589" w:rsidRPr="00BC4EC7">
        <w:t xml:space="preserve">Correlations between </w:t>
      </w:r>
      <w:proofErr w:type="gramStart"/>
      <w:r w:rsidR="00954589" w:rsidRPr="00BC4EC7">
        <w:t xml:space="preserve">variables </w:t>
      </w:r>
      <w:r w:rsidR="00954589" w:rsidRPr="00BC4EC7">
        <w:rPr>
          <w:szCs w:val="24"/>
        </w:rPr>
        <w:t xml:space="preserve"> using</w:t>
      </w:r>
      <w:proofErr w:type="gramEnd"/>
      <w:r w:rsidR="00954589" w:rsidRPr="00BC4EC7">
        <w:rPr>
          <w:szCs w:val="24"/>
        </w:rPr>
        <w:t xml:space="preserve"> secondary data</w:t>
      </w:r>
      <w:bookmarkEnd w:id="117"/>
    </w:p>
    <w:tbl>
      <w:tblPr>
        <w:tblW w:w="8883"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860"/>
        <w:gridCol w:w="2879"/>
        <w:gridCol w:w="1485"/>
        <w:gridCol w:w="1336"/>
        <w:gridCol w:w="1323"/>
      </w:tblGrid>
      <w:tr w:rsidR="00954589" w:rsidRPr="00020DC5" w14:paraId="2A4E6708" w14:textId="77777777" w:rsidTr="00525F1D">
        <w:trPr>
          <w:cantSplit/>
          <w:trHeight w:val="434"/>
          <w:tblHeader/>
        </w:trPr>
        <w:tc>
          <w:tcPr>
            <w:tcW w:w="1860" w:type="dxa"/>
            <w:tcBorders>
              <w:left w:val="nil"/>
              <w:right w:val="nil"/>
            </w:tcBorders>
            <w:shd w:val="clear" w:color="auto" w:fill="FFFFFF"/>
            <w:tcMar>
              <w:top w:w="30" w:type="dxa"/>
              <w:left w:w="30" w:type="dxa"/>
              <w:bottom w:w="30" w:type="dxa"/>
              <w:right w:w="30" w:type="dxa"/>
            </w:tcMar>
          </w:tcPr>
          <w:p w14:paraId="326E9E71" w14:textId="77777777" w:rsidR="00954589" w:rsidRPr="00020DC5" w:rsidRDefault="00954589" w:rsidP="00E62866">
            <w:pPr>
              <w:spacing w:line="240" w:lineRule="auto"/>
            </w:pPr>
          </w:p>
        </w:tc>
        <w:tc>
          <w:tcPr>
            <w:tcW w:w="2879" w:type="dxa"/>
            <w:tcBorders>
              <w:left w:val="nil"/>
              <w:right w:val="nil"/>
            </w:tcBorders>
            <w:shd w:val="clear" w:color="auto" w:fill="FFFFFF"/>
            <w:tcMar>
              <w:top w:w="30" w:type="dxa"/>
              <w:left w:w="30" w:type="dxa"/>
              <w:bottom w:w="30" w:type="dxa"/>
              <w:right w:w="30" w:type="dxa"/>
            </w:tcMar>
          </w:tcPr>
          <w:p w14:paraId="58C12C7E" w14:textId="77777777" w:rsidR="00954589" w:rsidRPr="00020DC5" w:rsidRDefault="00954589" w:rsidP="00E62866">
            <w:pPr>
              <w:spacing w:line="240" w:lineRule="auto"/>
            </w:pPr>
          </w:p>
        </w:tc>
        <w:tc>
          <w:tcPr>
            <w:tcW w:w="1485" w:type="dxa"/>
            <w:tcBorders>
              <w:left w:val="nil"/>
              <w:right w:val="nil"/>
            </w:tcBorders>
            <w:shd w:val="clear" w:color="auto" w:fill="FFFFFF"/>
            <w:tcMar>
              <w:top w:w="30" w:type="dxa"/>
              <w:left w:w="30" w:type="dxa"/>
              <w:bottom w:w="30" w:type="dxa"/>
              <w:right w:w="30" w:type="dxa"/>
            </w:tcMar>
            <w:vAlign w:val="bottom"/>
          </w:tcPr>
          <w:p w14:paraId="05D4B6A4" w14:textId="77777777" w:rsidR="00954589" w:rsidRPr="00020DC5" w:rsidRDefault="00954589" w:rsidP="00E62866">
            <w:pPr>
              <w:spacing w:line="240" w:lineRule="auto"/>
              <w:jc w:val="center"/>
            </w:pPr>
            <w:r w:rsidRPr="00020DC5">
              <w:t>Return On Assets</w:t>
            </w:r>
          </w:p>
        </w:tc>
        <w:tc>
          <w:tcPr>
            <w:tcW w:w="1336" w:type="dxa"/>
            <w:tcBorders>
              <w:left w:val="nil"/>
              <w:right w:val="nil"/>
            </w:tcBorders>
            <w:shd w:val="clear" w:color="auto" w:fill="FFFFFF"/>
            <w:tcMar>
              <w:top w:w="30" w:type="dxa"/>
              <w:left w:w="30" w:type="dxa"/>
              <w:bottom w:w="30" w:type="dxa"/>
              <w:right w:w="30" w:type="dxa"/>
            </w:tcMar>
            <w:vAlign w:val="bottom"/>
          </w:tcPr>
          <w:p w14:paraId="4C6F7563" w14:textId="77777777" w:rsidR="00954589" w:rsidRPr="00020DC5" w:rsidRDefault="00954589" w:rsidP="00E62866">
            <w:pPr>
              <w:spacing w:line="240" w:lineRule="auto"/>
              <w:jc w:val="center"/>
            </w:pPr>
            <w:r w:rsidRPr="00020DC5">
              <w:t>Return On Equity</w:t>
            </w:r>
          </w:p>
        </w:tc>
        <w:tc>
          <w:tcPr>
            <w:tcW w:w="1322" w:type="dxa"/>
            <w:tcBorders>
              <w:left w:val="nil"/>
              <w:right w:val="nil"/>
            </w:tcBorders>
            <w:shd w:val="clear" w:color="auto" w:fill="FFFFFF"/>
            <w:tcMar>
              <w:top w:w="30" w:type="dxa"/>
              <w:left w:w="30" w:type="dxa"/>
              <w:bottom w:w="30" w:type="dxa"/>
              <w:right w:w="30" w:type="dxa"/>
            </w:tcMar>
            <w:vAlign w:val="bottom"/>
          </w:tcPr>
          <w:p w14:paraId="6AF73F90" w14:textId="77777777" w:rsidR="00954589" w:rsidRPr="00020DC5" w:rsidRDefault="00954589" w:rsidP="00E62866">
            <w:pPr>
              <w:spacing w:line="240" w:lineRule="auto"/>
              <w:jc w:val="center"/>
            </w:pPr>
            <w:r w:rsidRPr="00020DC5">
              <w:rPr>
                <w:rFonts w:eastAsia="Times New Roman"/>
                <w:color w:val="000000"/>
              </w:rPr>
              <w:t>Net Interest Margin</w:t>
            </w:r>
          </w:p>
        </w:tc>
      </w:tr>
      <w:tr w:rsidR="00954589" w:rsidRPr="00020DC5" w14:paraId="47037EF4" w14:textId="77777777" w:rsidTr="00525F1D">
        <w:trPr>
          <w:cantSplit/>
          <w:trHeight w:val="465"/>
          <w:tblHeader/>
        </w:trPr>
        <w:tc>
          <w:tcPr>
            <w:tcW w:w="1860" w:type="dxa"/>
            <w:vMerge w:val="restart"/>
            <w:tcBorders>
              <w:left w:val="nil"/>
              <w:right w:val="nil"/>
            </w:tcBorders>
            <w:shd w:val="clear" w:color="auto" w:fill="FFFFFF"/>
            <w:tcMar>
              <w:top w:w="30" w:type="dxa"/>
              <w:left w:w="30" w:type="dxa"/>
              <w:bottom w:w="30" w:type="dxa"/>
              <w:right w:w="30" w:type="dxa"/>
            </w:tcMar>
          </w:tcPr>
          <w:p w14:paraId="1CD37127" w14:textId="77777777" w:rsidR="00954589" w:rsidRPr="00020DC5" w:rsidRDefault="00954589" w:rsidP="00E62866">
            <w:pPr>
              <w:spacing w:line="240" w:lineRule="auto"/>
            </w:pPr>
            <w:r w:rsidRPr="00020DC5">
              <w:rPr>
                <w:rFonts w:eastAsia="Times New Roman"/>
                <w:color w:val="000000"/>
              </w:rPr>
              <w:t>Capital Adequacy</w:t>
            </w:r>
          </w:p>
        </w:tc>
        <w:tc>
          <w:tcPr>
            <w:tcW w:w="2879" w:type="dxa"/>
            <w:tcBorders>
              <w:left w:val="nil"/>
              <w:bottom w:val="nil"/>
              <w:right w:val="nil"/>
            </w:tcBorders>
            <w:shd w:val="clear" w:color="auto" w:fill="FFFFFF"/>
            <w:tcMar>
              <w:top w:w="30" w:type="dxa"/>
              <w:left w:w="30" w:type="dxa"/>
              <w:bottom w:w="30" w:type="dxa"/>
              <w:right w:w="30" w:type="dxa"/>
            </w:tcMar>
          </w:tcPr>
          <w:p w14:paraId="76A8B770"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41922E76" w14:textId="77777777" w:rsidR="00954589" w:rsidRPr="00020DC5" w:rsidRDefault="00954589" w:rsidP="00E62866">
            <w:pPr>
              <w:spacing w:line="240" w:lineRule="auto"/>
              <w:jc w:val="right"/>
            </w:pPr>
            <w:r w:rsidRPr="00020DC5">
              <w:t>-.655</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200D3890" w14:textId="77777777" w:rsidR="00954589" w:rsidRPr="00020DC5" w:rsidRDefault="00954589" w:rsidP="00E62866">
            <w:pPr>
              <w:spacing w:line="240" w:lineRule="auto"/>
              <w:jc w:val="right"/>
            </w:pPr>
            <w:r w:rsidRPr="00020DC5">
              <w:t>-.258</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363FC208" w14:textId="77777777" w:rsidR="00954589" w:rsidRPr="00020DC5" w:rsidRDefault="00954589" w:rsidP="00E62866">
            <w:pPr>
              <w:spacing w:line="240" w:lineRule="auto"/>
              <w:jc w:val="right"/>
            </w:pPr>
            <w:r w:rsidRPr="00020DC5">
              <w:t>-.699</w:t>
            </w:r>
          </w:p>
        </w:tc>
      </w:tr>
      <w:tr w:rsidR="00954589" w:rsidRPr="00020DC5" w14:paraId="30BFA11D"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6C2A2C82"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28FA5736"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26F08052" w14:textId="77777777" w:rsidR="00954589" w:rsidRPr="00020DC5" w:rsidRDefault="00954589" w:rsidP="00E62866">
            <w:pPr>
              <w:spacing w:line="240" w:lineRule="auto"/>
              <w:jc w:val="right"/>
            </w:pPr>
            <w:r w:rsidRPr="00020DC5">
              <w:t>.0230</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73778B20" w14:textId="77777777" w:rsidR="00954589" w:rsidRPr="00020DC5" w:rsidRDefault="00954589" w:rsidP="00E62866">
            <w:pPr>
              <w:spacing w:line="240" w:lineRule="auto"/>
              <w:jc w:val="right"/>
            </w:pPr>
            <w:r w:rsidRPr="00020DC5">
              <w:t>.0065</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4C213373" w14:textId="77777777" w:rsidR="00954589" w:rsidRPr="00020DC5" w:rsidRDefault="00954589" w:rsidP="00E62866">
            <w:pPr>
              <w:spacing w:line="240" w:lineRule="auto"/>
              <w:jc w:val="right"/>
            </w:pPr>
            <w:r w:rsidRPr="00020DC5">
              <w:t>.0189</w:t>
            </w:r>
          </w:p>
        </w:tc>
      </w:tr>
      <w:tr w:rsidR="00954589" w:rsidRPr="00020DC5" w14:paraId="3CBCBCF1"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4294A350"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5B49FC5E"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406386DA"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453937D4"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3F1FA9AA" w14:textId="77777777" w:rsidR="00954589" w:rsidRPr="00020DC5" w:rsidRDefault="00954589" w:rsidP="00E62866">
            <w:pPr>
              <w:spacing w:line="240" w:lineRule="auto"/>
              <w:jc w:val="right"/>
            </w:pPr>
            <w:r w:rsidRPr="00020DC5">
              <w:t>5</w:t>
            </w:r>
          </w:p>
        </w:tc>
      </w:tr>
      <w:tr w:rsidR="00954589" w:rsidRPr="00020DC5" w14:paraId="266DE826" w14:textId="77777777" w:rsidTr="00525F1D">
        <w:trPr>
          <w:cantSplit/>
          <w:trHeight w:val="465"/>
          <w:tblHeader/>
        </w:trPr>
        <w:tc>
          <w:tcPr>
            <w:tcW w:w="1860" w:type="dxa"/>
            <w:vMerge w:val="restart"/>
            <w:tcBorders>
              <w:left w:val="nil"/>
              <w:right w:val="nil"/>
            </w:tcBorders>
            <w:shd w:val="clear" w:color="auto" w:fill="FFFFFF"/>
            <w:tcMar>
              <w:top w:w="30" w:type="dxa"/>
              <w:left w:w="30" w:type="dxa"/>
              <w:bottom w:w="30" w:type="dxa"/>
              <w:right w:w="30" w:type="dxa"/>
            </w:tcMar>
          </w:tcPr>
          <w:p w14:paraId="2FA94FC1" w14:textId="77777777" w:rsidR="00954589" w:rsidRPr="00020DC5" w:rsidRDefault="00954589" w:rsidP="00E62866">
            <w:pPr>
              <w:spacing w:line="240" w:lineRule="auto"/>
            </w:pPr>
            <w:r w:rsidRPr="00020DC5">
              <w:t xml:space="preserve"> </w:t>
            </w:r>
            <w:r w:rsidRPr="00020DC5">
              <w:rPr>
                <w:rFonts w:eastAsia="Times New Roman"/>
                <w:color w:val="000000"/>
              </w:rPr>
              <w:t>Asset Quality</w:t>
            </w:r>
          </w:p>
        </w:tc>
        <w:tc>
          <w:tcPr>
            <w:tcW w:w="2879" w:type="dxa"/>
            <w:tcBorders>
              <w:left w:val="nil"/>
              <w:bottom w:val="nil"/>
              <w:right w:val="nil"/>
            </w:tcBorders>
            <w:shd w:val="clear" w:color="auto" w:fill="FFFFFF"/>
            <w:tcMar>
              <w:top w:w="30" w:type="dxa"/>
              <w:left w:w="30" w:type="dxa"/>
              <w:bottom w:w="30" w:type="dxa"/>
              <w:right w:w="30" w:type="dxa"/>
            </w:tcMar>
          </w:tcPr>
          <w:p w14:paraId="0D656FAA"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07798A5A" w14:textId="77777777" w:rsidR="00954589" w:rsidRPr="00020DC5" w:rsidRDefault="00954589" w:rsidP="00E62866">
            <w:pPr>
              <w:spacing w:line="240" w:lineRule="auto"/>
              <w:jc w:val="right"/>
            </w:pPr>
            <w:r w:rsidRPr="00020DC5">
              <w:t>-.598</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5CBD5E02" w14:textId="77777777" w:rsidR="00954589" w:rsidRPr="00020DC5" w:rsidRDefault="00954589" w:rsidP="00E62866">
            <w:pPr>
              <w:spacing w:line="240" w:lineRule="auto"/>
              <w:jc w:val="right"/>
            </w:pPr>
            <w:r w:rsidRPr="00020DC5">
              <w:t>-.488</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67CC5F38" w14:textId="77777777" w:rsidR="00954589" w:rsidRPr="00020DC5" w:rsidRDefault="00954589" w:rsidP="00E62866">
            <w:pPr>
              <w:spacing w:line="240" w:lineRule="auto"/>
              <w:jc w:val="right"/>
            </w:pPr>
            <w:r w:rsidRPr="00020DC5">
              <w:t>-.527</w:t>
            </w:r>
          </w:p>
        </w:tc>
      </w:tr>
      <w:tr w:rsidR="00954589" w:rsidRPr="00020DC5" w14:paraId="6D154605"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616FB67F"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15B904ED"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75FEA2F4" w14:textId="77777777" w:rsidR="00954589" w:rsidRPr="00020DC5" w:rsidRDefault="00954589" w:rsidP="00E62866">
            <w:pPr>
              <w:spacing w:line="240" w:lineRule="auto"/>
              <w:jc w:val="right"/>
            </w:pPr>
            <w:r w:rsidRPr="00020DC5">
              <w:t>.0287</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44BE66F2" w14:textId="77777777" w:rsidR="00954589" w:rsidRPr="00020DC5" w:rsidRDefault="00954589" w:rsidP="00E62866">
            <w:pPr>
              <w:spacing w:line="240" w:lineRule="auto"/>
              <w:jc w:val="right"/>
            </w:pPr>
            <w:r w:rsidRPr="00020DC5">
              <w:t>.0404</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578038F0" w14:textId="77777777" w:rsidR="00954589" w:rsidRPr="00020DC5" w:rsidRDefault="00954589" w:rsidP="00E62866">
            <w:pPr>
              <w:spacing w:line="240" w:lineRule="auto"/>
              <w:jc w:val="right"/>
            </w:pPr>
            <w:r w:rsidRPr="00020DC5">
              <w:t>.0362</w:t>
            </w:r>
          </w:p>
        </w:tc>
      </w:tr>
      <w:tr w:rsidR="00954589" w:rsidRPr="00020DC5" w14:paraId="7FDC0D38"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642C312A"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0E670223"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20C99F15"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71E89C1A"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03B9897C" w14:textId="77777777" w:rsidR="00954589" w:rsidRPr="00020DC5" w:rsidRDefault="00954589" w:rsidP="00E62866">
            <w:pPr>
              <w:spacing w:line="240" w:lineRule="auto"/>
              <w:jc w:val="right"/>
            </w:pPr>
            <w:r w:rsidRPr="00020DC5">
              <w:t>5</w:t>
            </w:r>
          </w:p>
        </w:tc>
      </w:tr>
      <w:tr w:rsidR="00954589" w:rsidRPr="00020DC5" w14:paraId="62D9E873" w14:textId="77777777" w:rsidTr="00525F1D">
        <w:trPr>
          <w:cantSplit/>
          <w:trHeight w:val="465"/>
          <w:tblHeader/>
        </w:trPr>
        <w:tc>
          <w:tcPr>
            <w:tcW w:w="1860" w:type="dxa"/>
            <w:vMerge w:val="restart"/>
            <w:tcBorders>
              <w:left w:val="nil"/>
              <w:right w:val="nil"/>
            </w:tcBorders>
            <w:shd w:val="clear" w:color="auto" w:fill="FFFFFF"/>
            <w:tcMar>
              <w:top w:w="30" w:type="dxa"/>
              <w:left w:w="30" w:type="dxa"/>
              <w:bottom w:w="30" w:type="dxa"/>
              <w:right w:w="30" w:type="dxa"/>
            </w:tcMar>
          </w:tcPr>
          <w:p w14:paraId="37F41FDF" w14:textId="77777777" w:rsidR="00954589" w:rsidRPr="00020DC5" w:rsidRDefault="00954589" w:rsidP="00E62866">
            <w:pPr>
              <w:spacing w:line="240" w:lineRule="auto"/>
            </w:pPr>
            <w:r w:rsidRPr="00020DC5">
              <w:t>Efficiency</w:t>
            </w:r>
          </w:p>
        </w:tc>
        <w:tc>
          <w:tcPr>
            <w:tcW w:w="2879" w:type="dxa"/>
            <w:tcBorders>
              <w:left w:val="nil"/>
              <w:bottom w:val="nil"/>
              <w:right w:val="nil"/>
            </w:tcBorders>
            <w:shd w:val="clear" w:color="auto" w:fill="FFFFFF"/>
            <w:tcMar>
              <w:top w:w="30" w:type="dxa"/>
              <w:left w:w="30" w:type="dxa"/>
              <w:bottom w:w="30" w:type="dxa"/>
              <w:right w:w="30" w:type="dxa"/>
            </w:tcMar>
          </w:tcPr>
          <w:p w14:paraId="2B7771AC"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2050AE26" w14:textId="77777777" w:rsidR="00954589" w:rsidRPr="00020DC5" w:rsidRDefault="00954589" w:rsidP="00E62866">
            <w:pPr>
              <w:spacing w:line="240" w:lineRule="auto"/>
              <w:jc w:val="right"/>
            </w:pPr>
            <w:r w:rsidRPr="00020DC5">
              <w:t>.012</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5235B967" w14:textId="77777777" w:rsidR="00954589" w:rsidRPr="00020DC5" w:rsidRDefault="00954589" w:rsidP="00E62866">
            <w:pPr>
              <w:spacing w:line="240" w:lineRule="auto"/>
              <w:jc w:val="right"/>
            </w:pPr>
            <w:r w:rsidRPr="00020DC5">
              <w:t>.609</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721676D6" w14:textId="77777777" w:rsidR="00954589" w:rsidRPr="00020DC5" w:rsidRDefault="00954589" w:rsidP="00E62866">
            <w:pPr>
              <w:spacing w:line="240" w:lineRule="auto"/>
              <w:jc w:val="right"/>
            </w:pPr>
            <w:r w:rsidRPr="00020DC5">
              <w:t>.143</w:t>
            </w:r>
          </w:p>
        </w:tc>
      </w:tr>
      <w:tr w:rsidR="00954589" w:rsidRPr="00020DC5" w14:paraId="1B154A57"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5CB77598"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05271EB1"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48D110F1" w14:textId="77777777" w:rsidR="00954589" w:rsidRPr="00020DC5" w:rsidRDefault="00954589" w:rsidP="00E62866">
            <w:pPr>
              <w:spacing w:line="240" w:lineRule="auto"/>
              <w:jc w:val="right"/>
            </w:pPr>
            <w:r w:rsidRPr="00020DC5">
              <w:t>.0098</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1783C093" w14:textId="77777777" w:rsidR="00954589" w:rsidRPr="00020DC5" w:rsidRDefault="00954589" w:rsidP="00E62866">
            <w:pPr>
              <w:spacing w:line="240" w:lineRule="auto"/>
              <w:jc w:val="right"/>
            </w:pPr>
            <w:r w:rsidRPr="00020DC5">
              <w:t>.0276</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347F84C5" w14:textId="77777777" w:rsidR="00954589" w:rsidRPr="00020DC5" w:rsidRDefault="00954589" w:rsidP="00E62866">
            <w:pPr>
              <w:spacing w:line="240" w:lineRule="auto"/>
              <w:jc w:val="right"/>
            </w:pPr>
            <w:r w:rsidRPr="00020DC5">
              <w:t>.0081</w:t>
            </w:r>
          </w:p>
        </w:tc>
      </w:tr>
      <w:tr w:rsidR="00954589" w:rsidRPr="00020DC5" w14:paraId="1B2C449B"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1AD1BE1B"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7B76C4C2"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16673419"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10467309"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79B7CC79" w14:textId="77777777" w:rsidR="00954589" w:rsidRPr="00020DC5" w:rsidRDefault="00954589" w:rsidP="00E62866">
            <w:pPr>
              <w:spacing w:line="240" w:lineRule="auto"/>
              <w:jc w:val="right"/>
            </w:pPr>
            <w:r w:rsidRPr="00020DC5">
              <w:t>5</w:t>
            </w:r>
          </w:p>
        </w:tc>
      </w:tr>
      <w:tr w:rsidR="00954589" w:rsidRPr="00020DC5" w14:paraId="5E523A70" w14:textId="77777777" w:rsidTr="00525F1D">
        <w:trPr>
          <w:cantSplit/>
          <w:trHeight w:val="465"/>
          <w:tblHeader/>
        </w:trPr>
        <w:tc>
          <w:tcPr>
            <w:tcW w:w="1860" w:type="dxa"/>
            <w:vMerge w:val="restart"/>
            <w:tcBorders>
              <w:left w:val="nil"/>
              <w:right w:val="nil"/>
            </w:tcBorders>
            <w:shd w:val="clear" w:color="auto" w:fill="FFFFFF"/>
            <w:tcMar>
              <w:top w:w="30" w:type="dxa"/>
              <w:left w:w="30" w:type="dxa"/>
              <w:bottom w:w="30" w:type="dxa"/>
              <w:right w:w="30" w:type="dxa"/>
            </w:tcMar>
          </w:tcPr>
          <w:p w14:paraId="0C50B186" w14:textId="77777777" w:rsidR="00954589" w:rsidRPr="00020DC5" w:rsidRDefault="00954589" w:rsidP="00E62866">
            <w:pPr>
              <w:spacing w:line="240" w:lineRule="auto"/>
            </w:pPr>
            <w:r w:rsidRPr="00020DC5">
              <w:t>Liquidity</w:t>
            </w:r>
          </w:p>
        </w:tc>
        <w:tc>
          <w:tcPr>
            <w:tcW w:w="2879" w:type="dxa"/>
            <w:tcBorders>
              <w:left w:val="nil"/>
              <w:bottom w:val="nil"/>
              <w:right w:val="nil"/>
            </w:tcBorders>
            <w:shd w:val="clear" w:color="auto" w:fill="FFFFFF"/>
            <w:tcMar>
              <w:top w:w="30" w:type="dxa"/>
              <w:left w:w="30" w:type="dxa"/>
              <w:bottom w:w="30" w:type="dxa"/>
              <w:right w:w="30" w:type="dxa"/>
            </w:tcMar>
          </w:tcPr>
          <w:p w14:paraId="0EB71289"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204ED5BB" w14:textId="77777777" w:rsidR="00954589" w:rsidRPr="00020DC5" w:rsidRDefault="00954589" w:rsidP="00E62866">
            <w:pPr>
              <w:spacing w:line="240" w:lineRule="auto"/>
              <w:jc w:val="right"/>
            </w:pPr>
            <w:r w:rsidRPr="00020DC5">
              <w:t>.432</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0B6A371C" w14:textId="77777777" w:rsidR="00954589" w:rsidRPr="00020DC5" w:rsidRDefault="00954589" w:rsidP="00E62866">
            <w:pPr>
              <w:spacing w:line="240" w:lineRule="auto"/>
              <w:jc w:val="right"/>
            </w:pPr>
            <w:r w:rsidRPr="00020DC5">
              <w:t>.005</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04D0EE4A" w14:textId="77777777" w:rsidR="00954589" w:rsidRPr="00020DC5" w:rsidRDefault="00954589" w:rsidP="00E62866">
            <w:pPr>
              <w:spacing w:line="240" w:lineRule="auto"/>
              <w:jc w:val="right"/>
            </w:pPr>
            <w:r w:rsidRPr="00020DC5">
              <w:t>.269</w:t>
            </w:r>
          </w:p>
        </w:tc>
      </w:tr>
      <w:tr w:rsidR="00954589" w:rsidRPr="00020DC5" w14:paraId="7A8AC506"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1398C550"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66D653BE"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47579D61" w14:textId="77777777" w:rsidR="00954589" w:rsidRPr="00020DC5" w:rsidRDefault="00954589" w:rsidP="00E62866">
            <w:pPr>
              <w:spacing w:line="240" w:lineRule="auto"/>
              <w:jc w:val="right"/>
            </w:pPr>
            <w:r w:rsidRPr="00020DC5">
              <w:t>.0468</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073D67A9" w14:textId="77777777" w:rsidR="00954589" w:rsidRPr="00020DC5" w:rsidRDefault="00954589" w:rsidP="00E62866">
            <w:pPr>
              <w:spacing w:line="240" w:lineRule="auto"/>
              <w:jc w:val="right"/>
            </w:pPr>
            <w:r w:rsidRPr="00020DC5">
              <w:t>.0994</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59BE7491" w14:textId="77777777" w:rsidR="00954589" w:rsidRPr="00020DC5" w:rsidRDefault="00954589" w:rsidP="00E62866">
            <w:pPr>
              <w:spacing w:line="240" w:lineRule="auto"/>
              <w:jc w:val="right"/>
            </w:pPr>
            <w:r w:rsidRPr="00020DC5">
              <w:t>.0661</w:t>
            </w:r>
          </w:p>
        </w:tc>
      </w:tr>
      <w:tr w:rsidR="00954589" w:rsidRPr="00020DC5" w14:paraId="37087E73"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38B57C07"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2563F455"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06A127EA"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6F84F6F9"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5B03ACC9" w14:textId="77777777" w:rsidR="00954589" w:rsidRPr="00020DC5" w:rsidRDefault="00954589" w:rsidP="00E62866">
            <w:pPr>
              <w:spacing w:line="240" w:lineRule="auto"/>
              <w:jc w:val="right"/>
            </w:pPr>
            <w:r w:rsidRPr="00020DC5">
              <w:t>5</w:t>
            </w:r>
          </w:p>
        </w:tc>
      </w:tr>
      <w:tr w:rsidR="00954589" w:rsidRPr="00020DC5" w14:paraId="7B4545A6" w14:textId="77777777" w:rsidTr="00525F1D">
        <w:trPr>
          <w:cantSplit/>
          <w:trHeight w:val="465"/>
          <w:tblHeader/>
        </w:trPr>
        <w:tc>
          <w:tcPr>
            <w:tcW w:w="1860" w:type="dxa"/>
            <w:vMerge w:val="restart"/>
            <w:tcBorders>
              <w:left w:val="nil"/>
              <w:right w:val="nil"/>
            </w:tcBorders>
            <w:shd w:val="clear" w:color="auto" w:fill="FFFFFF"/>
            <w:tcMar>
              <w:top w:w="30" w:type="dxa"/>
              <w:left w:w="30" w:type="dxa"/>
              <w:bottom w:w="30" w:type="dxa"/>
              <w:right w:w="30" w:type="dxa"/>
            </w:tcMar>
          </w:tcPr>
          <w:p w14:paraId="5BE7DD0A" w14:textId="77777777" w:rsidR="00954589" w:rsidRPr="00020DC5" w:rsidRDefault="00954589" w:rsidP="00E62866">
            <w:pPr>
              <w:spacing w:line="240" w:lineRule="auto"/>
            </w:pPr>
            <w:r w:rsidRPr="00020DC5">
              <w:rPr>
                <w:rFonts w:eastAsia="Times New Roman"/>
                <w:color w:val="000000"/>
              </w:rPr>
              <w:t>Real GDP growth rate</w:t>
            </w:r>
          </w:p>
        </w:tc>
        <w:tc>
          <w:tcPr>
            <w:tcW w:w="2879" w:type="dxa"/>
            <w:tcBorders>
              <w:left w:val="nil"/>
              <w:bottom w:val="nil"/>
              <w:right w:val="nil"/>
            </w:tcBorders>
            <w:shd w:val="clear" w:color="auto" w:fill="FFFFFF"/>
            <w:tcMar>
              <w:top w:w="30" w:type="dxa"/>
              <w:left w:w="30" w:type="dxa"/>
              <w:bottom w:w="30" w:type="dxa"/>
              <w:right w:w="30" w:type="dxa"/>
            </w:tcMar>
          </w:tcPr>
          <w:p w14:paraId="6917AB9C"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4C1F7DDA" w14:textId="77777777" w:rsidR="00954589" w:rsidRPr="00020DC5" w:rsidRDefault="00954589" w:rsidP="00E62866">
            <w:pPr>
              <w:spacing w:line="240" w:lineRule="auto"/>
              <w:jc w:val="right"/>
            </w:pPr>
            <w:r w:rsidRPr="00020DC5">
              <w:t>-.295</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6F2BE989" w14:textId="77777777" w:rsidR="00954589" w:rsidRPr="00020DC5" w:rsidRDefault="00954589" w:rsidP="00E62866">
            <w:pPr>
              <w:spacing w:line="240" w:lineRule="auto"/>
              <w:jc w:val="right"/>
            </w:pPr>
            <w:r w:rsidRPr="00020DC5">
              <w:t>.598</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02AB28B4" w14:textId="77777777" w:rsidR="00954589" w:rsidRPr="00020DC5" w:rsidRDefault="00954589" w:rsidP="00E62866">
            <w:pPr>
              <w:spacing w:line="240" w:lineRule="auto"/>
              <w:jc w:val="right"/>
            </w:pPr>
            <w:r w:rsidRPr="00020DC5">
              <w:t>-.533</w:t>
            </w:r>
          </w:p>
        </w:tc>
      </w:tr>
      <w:tr w:rsidR="00954589" w:rsidRPr="00020DC5" w14:paraId="7B8AD252"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2B8DDD5B"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7C71B3C3"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310A3986" w14:textId="77777777" w:rsidR="00954589" w:rsidRPr="00020DC5" w:rsidRDefault="00954589" w:rsidP="00E62866">
            <w:pPr>
              <w:spacing w:line="240" w:lineRule="auto"/>
              <w:jc w:val="right"/>
            </w:pPr>
            <w:r w:rsidRPr="00020DC5">
              <w:t>.630</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704DA2EB" w14:textId="77777777" w:rsidR="00954589" w:rsidRPr="00020DC5" w:rsidRDefault="00954589" w:rsidP="00E62866">
            <w:pPr>
              <w:spacing w:line="240" w:lineRule="auto"/>
              <w:jc w:val="right"/>
            </w:pPr>
            <w:r w:rsidRPr="00020DC5">
              <w:t>.287</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6D6FF805" w14:textId="77777777" w:rsidR="00954589" w:rsidRPr="00020DC5" w:rsidRDefault="00954589" w:rsidP="00E62866">
            <w:pPr>
              <w:spacing w:line="240" w:lineRule="auto"/>
              <w:jc w:val="right"/>
            </w:pPr>
            <w:r w:rsidRPr="00020DC5">
              <w:t>.0355</w:t>
            </w:r>
          </w:p>
        </w:tc>
      </w:tr>
      <w:tr w:rsidR="00954589" w:rsidRPr="00020DC5" w14:paraId="07601F25"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17B39365"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5F2A4A0E"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7467D60C"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4E8B77D4"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5780E864" w14:textId="77777777" w:rsidR="00954589" w:rsidRPr="00020DC5" w:rsidRDefault="00954589" w:rsidP="00E62866">
            <w:pPr>
              <w:spacing w:line="240" w:lineRule="auto"/>
              <w:jc w:val="right"/>
            </w:pPr>
            <w:r w:rsidRPr="00020DC5">
              <w:t>5</w:t>
            </w:r>
          </w:p>
        </w:tc>
      </w:tr>
      <w:tr w:rsidR="00954589" w:rsidRPr="00020DC5" w14:paraId="2D1DAC74" w14:textId="77777777" w:rsidTr="00525F1D">
        <w:trPr>
          <w:cantSplit/>
          <w:trHeight w:val="689"/>
          <w:tblHeader/>
        </w:trPr>
        <w:tc>
          <w:tcPr>
            <w:tcW w:w="1860" w:type="dxa"/>
            <w:vMerge w:val="restart"/>
            <w:tcBorders>
              <w:left w:val="nil"/>
              <w:right w:val="nil"/>
            </w:tcBorders>
            <w:shd w:val="clear" w:color="auto" w:fill="FFFFFF"/>
            <w:tcMar>
              <w:top w:w="30" w:type="dxa"/>
              <w:left w:w="30" w:type="dxa"/>
              <w:bottom w:w="30" w:type="dxa"/>
              <w:right w:w="30" w:type="dxa"/>
            </w:tcMar>
          </w:tcPr>
          <w:p w14:paraId="0D97879D" w14:textId="77777777" w:rsidR="00954589" w:rsidRPr="00020DC5" w:rsidRDefault="00954589" w:rsidP="00E62866">
            <w:pPr>
              <w:spacing w:line="240" w:lineRule="auto"/>
            </w:pPr>
            <w:r w:rsidRPr="00020DC5">
              <w:rPr>
                <w:rFonts w:eastAsia="Times New Roman"/>
                <w:color w:val="000000"/>
              </w:rPr>
              <w:t>Average annual Inflation rate</w:t>
            </w:r>
          </w:p>
        </w:tc>
        <w:tc>
          <w:tcPr>
            <w:tcW w:w="2879" w:type="dxa"/>
            <w:tcBorders>
              <w:left w:val="nil"/>
              <w:bottom w:val="nil"/>
              <w:right w:val="nil"/>
            </w:tcBorders>
            <w:shd w:val="clear" w:color="auto" w:fill="FFFFFF"/>
            <w:tcMar>
              <w:top w:w="30" w:type="dxa"/>
              <w:left w:w="30" w:type="dxa"/>
              <w:bottom w:w="30" w:type="dxa"/>
              <w:right w:w="30" w:type="dxa"/>
            </w:tcMar>
          </w:tcPr>
          <w:p w14:paraId="093A5C38" w14:textId="77777777" w:rsidR="00954589" w:rsidRPr="00020DC5" w:rsidRDefault="00954589" w:rsidP="00E62866">
            <w:pPr>
              <w:spacing w:line="240" w:lineRule="auto"/>
            </w:pPr>
            <w:r w:rsidRPr="00020DC5">
              <w:t>Pearson Correlation</w:t>
            </w:r>
          </w:p>
        </w:tc>
        <w:tc>
          <w:tcPr>
            <w:tcW w:w="1485" w:type="dxa"/>
            <w:tcBorders>
              <w:left w:val="nil"/>
              <w:bottom w:val="nil"/>
              <w:right w:val="nil"/>
            </w:tcBorders>
            <w:shd w:val="clear" w:color="auto" w:fill="FFFFFF"/>
            <w:tcMar>
              <w:top w:w="30" w:type="dxa"/>
              <w:left w:w="30" w:type="dxa"/>
              <w:bottom w:w="30" w:type="dxa"/>
              <w:right w:w="30" w:type="dxa"/>
            </w:tcMar>
            <w:vAlign w:val="center"/>
          </w:tcPr>
          <w:p w14:paraId="1EF07D14" w14:textId="77777777" w:rsidR="00954589" w:rsidRPr="00020DC5" w:rsidRDefault="00954589" w:rsidP="00E62866">
            <w:pPr>
              <w:spacing w:line="240" w:lineRule="auto"/>
              <w:jc w:val="right"/>
            </w:pPr>
            <w:r w:rsidRPr="00020DC5">
              <w:t>-.0000940</w:t>
            </w:r>
          </w:p>
        </w:tc>
        <w:tc>
          <w:tcPr>
            <w:tcW w:w="1336" w:type="dxa"/>
            <w:tcBorders>
              <w:left w:val="nil"/>
              <w:bottom w:val="nil"/>
              <w:right w:val="nil"/>
            </w:tcBorders>
            <w:shd w:val="clear" w:color="auto" w:fill="FFFFFF"/>
            <w:tcMar>
              <w:top w:w="30" w:type="dxa"/>
              <w:left w:w="30" w:type="dxa"/>
              <w:bottom w:w="30" w:type="dxa"/>
              <w:right w:w="30" w:type="dxa"/>
            </w:tcMar>
            <w:vAlign w:val="center"/>
          </w:tcPr>
          <w:p w14:paraId="0AFB2C9B" w14:textId="77777777" w:rsidR="00954589" w:rsidRPr="00020DC5" w:rsidRDefault="00954589" w:rsidP="00E62866">
            <w:pPr>
              <w:spacing w:line="240" w:lineRule="auto"/>
              <w:jc w:val="right"/>
            </w:pPr>
            <w:r w:rsidRPr="00020DC5">
              <w:t>-.644</w:t>
            </w:r>
          </w:p>
        </w:tc>
        <w:tc>
          <w:tcPr>
            <w:tcW w:w="1322" w:type="dxa"/>
            <w:tcBorders>
              <w:left w:val="nil"/>
              <w:bottom w:val="nil"/>
              <w:right w:val="nil"/>
            </w:tcBorders>
            <w:shd w:val="clear" w:color="auto" w:fill="FFFFFF"/>
            <w:tcMar>
              <w:top w:w="30" w:type="dxa"/>
              <w:left w:w="30" w:type="dxa"/>
              <w:bottom w:w="30" w:type="dxa"/>
              <w:right w:w="30" w:type="dxa"/>
            </w:tcMar>
            <w:vAlign w:val="center"/>
          </w:tcPr>
          <w:p w14:paraId="60EADC98" w14:textId="77777777" w:rsidR="00954589" w:rsidRPr="00020DC5" w:rsidRDefault="00954589" w:rsidP="00E62866">
            <w:pPr>
              <w:spacing w:line="240" w:lineRule="auto"/>
              <w:jc w:val="right"/>
            </w:pPr>
            <w:r w:rsidRPr="00020DC5">
              <w:t>-.669</w:t>
            </w:r>
          </w:p>
        </w:tc>
      </w:tr>
      <w:tr w:rsidR="00954589" w:rsidRPr="00020DC5" w14:paraId="46137F6E" w14:textId="77777777" w:rsidTr="00525F1D">
        <w:trPr>
          <w:cantSplit/>
          <w:trHeight w:val="510"/>
          <w:tblHeader/>
        </w:trPr>
        <w:tc>
          <w:tcPr>
            <w:tcW w:w="1860" w:type="dxa"/>
            <w:vMerge/>
            <w:tcBorders>
              <w:left w:val="nil"/>
              <w:right w:val="nil"/>
            </w:tcBorders>
            <w:shd w:val="clear" w:color="auto" w:fill="FFFFFF"/>
            <w:tcMar>
              <w:top w:w="30" w:type="dxa"/>
              <w:left w:w="30" w:type="dxa"/>
              <w:bottom w:w="30" w:type="dxa"/>
              <w:right w:w="30" w:type="dxa"/>
            </w:tcMar>
          </w:tcPr>
          <w:p w14:paraId="666DB3EE" w14:textId="77777777" w:rsidR="00954589" w:rsidRPr="00020DC5" w:rsidRDefault="00954589" w:rsidP="00E62866">
            <w:pPr>
              <w:spacing w:line="240" w:lineRule="auto"/>
            </w:pPr>
          </w:p>
        </w:tc>
        <w:tc>
          <w:tcPr>
            <w:tcW w:w="2879" w:type="dxa"/>
            <w:tcBorders>
              <w:top w:val="nil"/>
              <w:left w:val="nil"/>
              <w:bottom w:val="nil"/>
              <w:right w:val="nil"/>
            </w:tcBorders>
            <w:shd w:val="clear" w:color="auto" w:fill="FFFFFF"/>
            <w:tcMar>
              <w:top w:w="30" w:type="dxa"/>
              <w:left w:w="30" w:type="dxa"/>
              <w:bottom w:w="30" w:type="dxa"/>
              <w:right w:w="30" w:type="dxa"/>
            </w:tcMar>
          </w:tcPr>
          <w:p w14:paraId="199CB0D7" w14:textId="77777777" w:rsidR="00954589" w:rsidRPr="00020DC5" w:rsidRDefault="00954589" w:rsidP="00E62866">
            <w:pPr>
              <w:spacing w:line="240" w:lineRule="auto"/>
            </w:pPr>
            <w:r w:rsidRPr="00020DC5">
              <w:t>Sig. (2-tailed)</w:t>
            </w:r>
          </w:p>
        </w:tc>
        <w:tc>
          <w:tcPr>
            <w:tcW w:w="1485" w:type="dxa"/>
            <w:tcBorders>
              <w:top w:val="nil"/>
              <w:left w:val="nil"/>
              <w:bottom w:val="nil"/>
              <w:right w:val="nil"/>
            </w:tcBorders>
            <w:shd w:val="clear" w:color="auto" w:fill="FFFFFF"/>
            <w:tcMar>
              <w:top w:w="30" w:type="dxa"/>
              <w:left w:w="30" w:type="dxa"/>
              <w:bottom w:w="30" w:type="dxa"/>
              <w:right w:w="30" w:type="dxa"/>
            </w:tcMar>
            <w:vAlign w:val="center"/>
          </w:tcPr>
          <w:p w14:paraId="2B38F9DB" w14:textId="77777777" w:rsidR="00954589" w:rsidRPr="00020DC5" w:rsidRDefault="00954589" w:rsidP="00E62866">
            <w:pPr>
              <w:spacing w:line="240" w:lineRule="auto"/>
              <w:jc w:val="right"/>
            </w:pPr>
            <w:r w:rsidRPr="00020DC5">
              <w:t>.017</w:t>
            </w:r>
          </w:p>
        </w:tc>
        <w:tc>
          <w:tcPr>
            <w:tcW w:w="1336" w:type="dxa"/>
            <w:tcBorders>
              <w:top w:val="nil"/>
              <w:left w:val="nil"/>
              <w:bottom w:val="nil"/>
              <w:right w:val="nil"/>
            </w:tcBorders>
            <w:shd w:val="clear" w:color="auto" w:fill="FFFFFF"/>
            <w:tcMar>
              <w:top w:w="30" w:type="dxa"/>
              <w:left w:w="30" w:type="dxa"/>
              <w:bottom w:w="30" w:type="dxa"/>
              <w:right w:w="30" w:type="dxa"/>
            </w:tcMar>
            <w:vAlign w:val="center"/>
          </w:tcPr>
          <w:p w14:paraId="43D6008E" w14:textId="77777777" w:rsidR="00954589" w:rsidRPr="00020DC5" w:rsidRDefault="00954589" w:rsidP="00E62866">
            <w:pPr>
              <w:spacing w:line="240" w:lineRule="auto"/>
              <w:jc w:val="right"/>
            </w:pPr>
            <w:r w:rsidRPr="00020DC5">
              <w:t>.0241</w:t>
            </w:r>
          </w:p>
        </w:tc>
        <w:tc>
          <w:tcPr>
            <w:tcW w:w="1322" w:type="dxa"/>
            <w:tcBorders>
              <w:top w:val="nil"/>
              <w:left w:val="nil"/>
              <w:bottom w:val="nil"/>
              <w:right w:val="nil"/>
            </w:tcBorders>
            <w:shd w:val="clear" w:color="auto" w:fill="FFFFFF"/>
            <w:tcMar>
              <w:top w:w="30" w:type="dxa"/>
              <w:left w:w="30" w:type="dxa"/>
              <w:bottom w:w="30" w:type="dxa"/>
              <w:right w:w="30" w:type="dxa"/>
            </w:tcMar>
            <w:vAlign w:val="center"/>
          </w:tcPr>
          <w:p w14:paraId="03E011B2" w14:textId="77777777" w:rsidR="00954589" w:rsidRPr="00020DC5" w:rsidRDefault="00954589" w:rsidP="00E62866">
            <w:pPr>
              <w:spacing w:line="240" w:lineRule="auto"/>
              <w:jc w:val="right"/>
            </w:pPr>
            <w:r w:rsidRPr="00020DC5">
              <w:t>.0217</w:t>
            </w:r>
          </w:p>
        </w:tc>
      </w:tr>
      <w:tr w:rsidR="00954589" w:rsidRPr="00020DC5" w14:paraId="6326BECA" w14:textId="77777777" w:rsidTr="00525F1D">
        <w:trPr>
          <w:cantSplit/>
          <w:trHeight w:val="480"/>
          <w:tblHeader/>
        </w:trPr>
        <w:tc>
          <w:tcPr>
            <w:tcW w:w="1860" w:type="dxa"/>
            <w:vMerge/>
            <w:tcBorders>
              <w:left w:val="nil"/>
              <w:right w:val="nil"/>
            </w:tcBorders>
            <w:shd w:val="clear" w:color="auto" w:fill="FFFFFF"/>
            <w:tcMar>
              <w:top w:w="30" w:type="dxa"/>
              <w:left w:w="30" w:type="dxa"/>
              <w:bottom w:w="30" w:type="dxa"/>
              <w:right w:w="30" w:type="dxa"/>
            </w:tcMar>
          </w:tcPr>
          <w:p w14:paraId="750C676A" w14:textId="77777777" w:rsidR="00954589" w:rsidRPr="00020DC5" w:rsidRDefault="00954589" w:rsidP="00E62866">
            <w:pPr>
              <w:spacing w:line="240" w:lineRule="auto"/>
            </w:pPr>
          </w:p>
        </w:tc>
        <w:tc>
          <w:tcPr>
            <w:tcW w:w="2879" w:type="dxa"/>
            <w:tcBorders>
              <w:top w:val="nil"/>
              <w:left w:val="nil"/>
              <w:right w:val="nil"/>
            </w:tcBorders>
            <w:shd w:val="clear" w:color="auto" w:fill="FFFFFF"/>
            <w:tcMar>
              <w:top w:w="30" w:type="dxa"/>
              <w:left w:w="30" w:type="dxa"/>
              <w:bottom w:w="30" w:type="dxa"/>
              <w:right w:w="30" w:type="dxa"/>
            </w:tcMar>
          </w:tcPr>
          <w:p w14:paraId="77E84025" w14:textId="77777777" w:rsidR="00954589" w:rsidRPr="00020DC5" w:rsidRDefault="00954589" w:rsidP="00E62866">
            <w:pPr>
              <w:spacing w:line="240" w:lineRule="auto"/>
            </w:pPr>
            <w:r w:rsidRPr="00020DC5">
              <w:t>N</w:t>
            </w:r>
          </w:p>
        </w:tc>
        <w:tc>
          <w:tcPr>
            <w:tcW w:w="1485" w:type="dxa"/>
            <w:tcBorders>
              <w:top w:val="nil"/>
              <w:left w:val="nil"/>
              <w:right w:val="nil"/>
            </w:tcBorders>
            <w:shd w:val="clear" w:color="auto" w:fill="FFFFFF"/>
            <w:tcMar>
              <w:top w:w="30" w:type="dxa"/>
              <w:left w:w="30" w:type="dxa"/>
              <w:bottom w:w="30" w:type="dxa"/>
              <w:right w:w="30" w:type="dxa"/>
            </w:tcMar>
            <w:vAlign w:val="center"/>
          </w:tcPr>
          <w:p w14:paraId="23F1C859" w14:textId="77777777" w:rsidR="00954589" w:rsidRPr="00020DC5" w:rsidRDefault="00954589" w:rsidP="00E62866">
            <w:pPr>
              <w:spacing w:line="240" w:lineRule="auto"/>
              <w:jc w:val="right"/>
            </w:pPr>
            <w:r w:rsidRPr="00020DC5">
              <w:t>5</w:t>
            </w:r>
          </w:p>
        </w:tc>
        <w:tc>
          <w:tcPr>
            <w:tcW w:w="1336" w:type="dxa"/>
            <w:tcBorders>
              <w:top w:val="nil"/>
              <w:left w:val="nil"/>
              <w:right w:val="nil"/>
            </w:tcBorders>
            <w:shd w:val="clear" w:color="auto" w:fill="FFFFFF"/>
            <w:tcMar>
              <w:top w:w="30" w:type="dxa"/>
              <w:left w:w="30" w:type="dxa"/>
              <w:bottom w:w="30" w:type="dxa"/>
              <w:right w:w="30" w:type="dxa"/>
            </w:tcMar>
            <w:vAlign w:val="center"/>
          </w:tcPr>
          <w:p w14:paraId="0D9FD062" w14:textId="77777777" w:rsidR="00954589" w:rsidRPr="00020DC5" w:rsidRDefault="00954589" w:rsidP="00E62866">
            <w:pPr>
              <w:spacing w:line="240" w:lineRule="auto"/>
              <w:jc w:val="right"/>
            </w:pPr>
            <w:r w:rsidRPr="00020DC5">
              <w:t>5</w:t>
            </w:r>
          </w:p>
        </w:tc>
        <w:tc>
          <w:tcPr>
            <w:tcW w:w="1322" w:type="dxa"/>
            <w:tcBorders>
              <w:top w:val="nil"/>
              <w:left w:val="nil"/>
              <w:right w:val="nil"/>
            </w:tcBorders>
            <w:shd w:val="clear" w:color="auto" w:fill="FFFFFF"/>
            <w:tcMar>
              <w:top w:w="30" w:type="dxa"/>
              <w:left w:w="30" w:type="dxa"/>
              <w:bottom w:w="30" w:type="dxa"/>
              <w:right w:w="30" w:type="dxa"/>
            </w:tcMar>
            <w:vAlign w:val="center"/>
          </w:tcPr>
          <w:p w14:paraId="4709EF1B" w14:textId="77777777" w:rsidR="00954589" w:rsidRPr="00020DC5" w:rsidRDefault="00954589" w:rsidP="00E62866">
            <w:pPr>
              <w:spacing w:line="240" w:lineRule="auto"/>
              <w:jc w:val="right"/>
            </w:pPr>
            <w:r w:rsidRPr="00020DC5">
              <w:t>5</w:t>
            </w:r>
          </w:p>
        </w:tc>
      </w:tr>
      <w:tr w:rsidR="00954589" w:rsidRPr="00020DC5" w14:paraId="19F6003F" w14:textId="77777777" w:rsidTr="00525F1D">
        <w:trPr>
          <w:cantSplit/>
          <w:trHeight w:val="434"/>
        </w:trPr>
        <w:tc>
          <w:tcPr>
            <w:tcW w:w="8883" w:type="dxa"/>
            <w:gridSpan w:val="5"/>
            <w:tcBorders>
              <w:top w:val="nil"/>
              <w:left w:val="nil"/>
              <w:bottom w:val="nil"/>
              <w:right w:val="nil"/>
            </w:tcBorders>
            <w:shd w:val="clear" w:color="auto" w:fill="FFFFFF"/>
            <w:tcMar>
              <w:top w:w="30" w:type="dxa"/>
              <w:left w:w="30" w:type="dxa"/>
              <w:bottom w:w="30" w:type="dxa"/>
              <w:right w:w="30" w:type="dxa"/>
            </w:tcMar>
          </w:tcPr>
          <w:p w14:paraId="60723F5F" w14:textId="77777777" w:rsidR="00954589" w:rsidRPr="00020DC5" w:rsidRDefault="00954589" w:rsidP="00E62866">
            <w:pPr>
              <w:spacing w:line="240" w:lineRule="auto"/>
            </w:pPr>
            <w:r w:rsidRPr="00020DC5">
              <w:t>*. Correlation is significant at the 0.05 level (2-tailed).</w:t>
            </w:r>
          </w:p>
        </w:tc>
      </w:tr>
    </w:tbl>
    <w:p w14:paraId="0D743779" w14:textId="77777777" w:rsidR="00954589" w:rsidRPr="00016C50" w:rsidRDefault="00954589" w:rsidP="00E62866">
      <w:pPr>
        <w:spacing w:line="240" w:lineRule="auto"/>
        <w:jc w:val="both"/>
        <w:rPr>
          <w:b/>
        </w:rPr>
      </w:pPr>
      <w:r w:rsidRPr="00016C50">
        <w:rPr>
          <w:b/>
        </w:rPr>
        <w:t>Source: Researcher, 2016</w:t>
      </w:r>
    </w:p>
    <w:p w14:paraId="3E80D47B" w14:textId="007F8698" w:rsidR="00954589" w:rsidRDefault="00EF6959" w:rsidP="00E62866">
      <w:pPr>
        <w:spacing w:line="240" w:lineRule="auto"/>
        <w:jc w:val="both"/>
      </w:pPr>
      <w:r>
        <w:lastRenderedPageBreak/>
        <w:t>From Table 3</w:t>
      </w:r>
      <w:r w:rsidR="00954589">
        <w:t>, t</w:t>
      </w:r>
      <w:r w:rsidR="00954589" w:rsidRPr="00E86942">
        <w:t xml:space="preserve">he study used data from annual reports of Bank of Kigali, the researcher used Pearson correlation coefficient to establish relationship between variables under study, such as economic factors and profitability of commercial banks. The study revealed that capital adequacy correlate negatively to return on assets, return on equity, </w:t>
      </w:r>
      <w:r w:rsidR="00954589" w:rsidRPr="00E86942">
        <w:rPr>
          <w:rFonts w:eastAsia="Times New Roman"/>
          <w:color w:val="000000"/>
        </w:rPr>
        <w:t>net interest margin,</w:t>
      </w:r>
      <w:r w:rsidR="00954589" w:rsidRPr="00E86942">
        <w:t xml:space="preserve"> where r = -0.655; -258 respectively -0.699. Assets quality correlate negatively to return on assets, return on equity, </w:t>
      </w:r>
      <w:r w:rsidR="00954589" w:rsidRPr="00E86942">
        <w:rPr>
          <w:rFonts w:eastAsia="Times New Roman"/>
          <w:color w:val="000000"/>
        </w:rPr>
        <w:t>net interest margin,</w:t>
      </w:r>
      <w:r w:rsidR="00954589" w:rsidRPr="00E86942">
        <w:t xml:space="preserve"> where r = -0.598; -488 respectively -0.527. Efficiency management correlates positively to return on assets, return on equity, </w:t>
      </w:r>
      <w:r w:rsidR="00954589" w:rsidRPr="00E86942">
        <w:rPr>
          <w:rFonts w:eastAsia="Times New Roman"/>
          <w:color w:val="000000"/>
        </w:rPr>
        <w:t>net interest margin,</w:t>
      </w:r>
      <w:r w:rsidR="00954589" w:rsidRPr="00E86942">
        <w:t xml:space="preserve"> where r = 0.12; 0.609 respectively 0.143. Liquidity correlates positively to return on assets, negatively to return on equity, and positively to </w:t>
      </w:r>
      <w:r w:rsidR="00954589" w:rsidRPr="00E86942">
        <w:rPr>
          <w:rFonts w:eastAsia="Times New Roman"/>
          <w:color w:val="000000"/>
        </w:rPr>
        <w:t>net interest margin,</w:t>
      </w:r>
      <w:r w:rsidR="00954589">
        <w:t xml:space="preserve"> where r = 0.432; </w:t>
      </w:r>
      <w:r w:rsidR="00954589" w:rsidRPr="00E86942">
        <w:t xml:space="preserve">0.005 respectively 0.269. </w:t>
      </w:r>
      <w:r w:rsidR="00954589" w:rsidRPr="00E86942">
        <w:rPr>
          <w:rFonts w:eastAsia="Times New Roman"/>
          <w:color w:val="000000"/>
        </w:rPr>
        <w:t xml:space="preserve">Real GDP growth rate </w:t>
      </w:r>
      <w:r w:rsidR="00954589" w:rsidRPr="00E86942">
        <w:t xml:space="preserve">correlates negatively to return on assets, return on equity, </w:t>
      </w:r>
      <w:r w:rsidR="00954589" w:rsidRPr="00E86942">
        <w:rPr>
          <w:rFonts w:eastAsia="Times New Roman"/>
          <w:color w:val="000000"/>
        </w:rPr>
        <w:t>net interest margin,</w:t>
      </w:r>
      <w:r w:rsidR="00954589">
        <w:t xml:space="preserve"> where r = -0.295; </w:t>
      </w:r>
      <w:r w:rsidR="00954589" w:rsidRPr="00E86942">
        <w:t xml:space="preserve">0.598 respectively- 0.533. </w:t>
      </w:r>
      <w:r w:rsidR="00954589" w:rsidRPr="00E86942">
        <w:rPr>
          <w:rFonts w:eastAsia="Times New Roman"/>
          <w:color w:val="000000"/>
        </w:rPr>
        <w:t xml:space="preserve">Average annual inflation rate </w:t>
      </w:r>
      <w:r w:rsidR="00954589" w:rsidRPr="00E86942">
        <w:t xml:space="preserve">correlates negatively to return on assets, return on equity, </w:t>
      </w:r>
      <w:r w:rsidR="00954589" w:rsidRPr="00E86942">
        <w:rPr>
          <w:rFonts w:eastAsia="Times New Roman"/>
          <w:color w:val="000000"/>
        </w:rPr>
        <w:t>net interest margin,</w:t>
      </w:r>
      <w:r w:rsidR="00954589" w:rsidRPr="00E86942">
        <w:t xml:space="preserve"> where r = -0. 0000940 (this figure indicated that correlation between </w:t>
      </w:r>
      <w:r w:rsidR="00954589" w:rsidRPr="00E86942">
        <w:rPr>
          <w:rFonts w:eastAsia="Times New Roman"/>
          <w:color w:val="000000"/>
        </w:rPr>
        <w:t xml:space="preserve">average annual inflation rate and return on equity was </w:t>
      </w:r>
      <w:r w:rsidR="00954589" w:rsidRPr="00E86942">
        <w:t>around zero); -0. 644 respectively- 0. 669. Moreover, bot</w:t>
      </w:r>
      <w:r w:rsidR="00954589">
        <w:t>h internal and external factors</w:t>
      </w:r>
      <w:r w:rsidR="00954589" w:rsidRPr="00E86942">
        <w:t xml:space="preserve"> may influence a bank’s ability to maintain equity capital sufficient to pay depositors whenever they demand their money and still have enough funds to increase the bank’s profitabili</w:t>
      </w:r>
      <w:r w:rsidR="00954589">
        <w:t xml:space="preserve">ty through additional lending. </w:t>
      </w:r>
    </w:p>
    <w:p w14:paraId="4936EADA" w14:textId="0EAB7032" w:rsidR="00954589" w:rsidRDefault="00954589" w:rsidP="00E62866">
      <w:pPr>
        <w:spacing w:line="240" w:lineRule="auto"/>
        <w:jc w:val="both"/>
      </w:pPr>
      <w:r w:rsidRPr="00C05CB7">
        <w:t>The relat</w:t>
      </w:r>
      <w:r>
        <w:t>ionship between capital adequacy,</w:t>
      </w:r>
      <w:r w:rsidRPr="00C05CB7">
        <w:t xml:space="preserve"> </w:t>
      </w:r>
      <w:r>
        <w:t xml:space="preserve">asset quality and bank profitability </w:t>
      </w:r>
      <w:r w:rsidRPr="00C05CB7">
        <w:t>was found to be</w:t>
      </w:r>
      <w:r>
        <w:t xml:space="preserve"> negative and for </w:t>
      </w:r>
      <w:r w:rsidRPr="00C05CB7">
        <w:t>management efficiency</w:t>
      </w:r>
      <w:r>
        <w:t xml:space="preserve"> the relationship was positive</w:t>
      </w:r>
      <w:r w:rsidRPr="00C05CB7">
        <w:t>. This indicates that poor asset quality or high non-performing loans to total</w:t>
      </w:r>
      <w:r>
        <w:t xml:space="preserve"> </w:t>
      </w:r>
      <w:r w:rsidRPr="00C05CB7">
        <w:t xml:space="preserve">asset related to poor bank performance. </w:t>
      </w:r>
      <w:r>
        <w:t>Thus, it is possible to say</w:t>
      </w:r>
      <w:r w:rsidRPr="00C05CB7">
        <w:t xml:space="preserve"> that banks with high asset</w:t>
      </w:r>
      <w:r>
        <w:t xml:space="preserve"> </w:t>
      </w:r>
      <w:r w:rsidRPr="00C05CB7">
        <w:t>quality and low non-performing loan are more profitable than the others. The other bank specific</w:t>
      </w:r>
      <w:r>
        <w:t xml:space="preserve"> </w:t>
      </w:r>
      <w:r w:rsidRPr="00C05CB7">
        <w:t>factor liquidity management represented by liquidity ratio was found t</w:t>
      </w:r>
      <w:r>
        <w:t>o have no significant effect on the profitability of bank of Kigali</w:t>
      </w:r>
      <w:r w:rsidRPr="00C05CB7">
        <w:t>. This shows that p</w:t>
      </w:r>
      <w:r>
        <w:t xml:space="preserve">rofitability is not as such about </w:t>
      </w:r>
      <w:r w:rsidRPr="00C05CB7">
        <w:t>keeping high liquid asset; rather it is about asset quality, capital adequa</w:t>
      </w:r>
      <w:r>
        <w:t xml:space="preserve">cy, efficiency and others. But, </w:t>
      </w:r>
      <w:r w:rsidRPr="00C05CB7">
        <w:t>this doesn't mean that liquidity status of banks has no effect at all. Rat</w:t>
      </w:r>
      <w:r>
        <w:t xml:space="preserve">her it means that liquidity has </w:t>
      </w:r>
      <w:r w:rsidRPr="00C05CB7">
        <w:t>lesse</w:t>
      </w:r>
      <w:r>
        <w:t>r effect on profitability</w:t>
      </w:r>
      <w:r w:rsidRPr="00C05CB7">
        <w:t xml:space="preserve"> of </w:t>
      </w:r>
      <w:r>
        <w:t>bank of Kigali in the study period</w:t>
      </w:r>
      <w:r w:rsidRPr="00C05CB7">
        <w:t xml:space="preserve">. </w:t>
      </w:r>
    </w:p>
    <w:p w14:paraId="375B34E9" w14:textId="77777777" w:rsidR="00EF6959" w:rsidRDefault="00EF6959" w:rsidP="00E62866">
      <w:pPr>
        <w:spacing w:line="240" w:lineRule="auto"/>
        <w:jc w:val="both"/>
      </w:pPr>
    </w:p>
    <w:p w14:paraId="41099142" w14:textId="77777777" w:rsidR="00EF6959" w:rsidRDefault="00EF6959" w:rsidP="00E62866">
      <w:pPr>
        <w:spacing w:line="240" w:lineRule="auto"/>
        <w:jc w:val="both"/>
      </w:pPr>
    </w:p>
    <w:p w14:paraId="27166247" w14:textId="77777777" w:rsidR="00EF6959" w:rsidRDefault="00EF6959" w:rsidP="00E62866">
      <w:pPr>
        <w:spacing w:line="240" w:lineRule="auto"/>
        <w:jc w:val="both"/>
      </w:pPr>
    </w:p>
    <w:p w14:paraId="20C4F458" w14:textId="77777777" w:rsidR="00EF6959" w:rsidRDefault="00EF6959" w:rsidP="00E62866">
      <w:pPr>
        <w:spacing w:line="240" w:lineRule="auto"/>
        <w:jc w:val="both"/>
      </w:pPr>
    </w:p>
    <w:p w14:paraId="3EDE9070" w14:textId="77777777" w:rsidR="00EF6959" w:rsidRDefault="00EF6959" w:rsidP="00E62866">
      <w:pPr>
        <w:spacing w:line="240" w:lineRule="auto"/>
        <w:jc w:val="both"/>
      </w:pPr>
    </w:p>
    <w:p w14:paraId="7B57E290" w14:textId="77777777" w:rsidR="00EF6959" w:rsidRDefault="00EF6959" w:rsidP="00E62866">
      <w:pPr>
        <w:spacing w:line="240" w:lineRule="auto"/>
        <w:jc w:val="both"/>
      </w:pPr>
    </w:p>
    <w:p w14:paraId="759BB242" w14:textId="77777777" w:rsidR="00EF6959" w:rsidRDefault="00EF6959" w:rsidP="00E62866">
      <w:pPr>
        <w:spacing w:line="240" w:lineRule="auto"/>
        <w:jc w:val="both"/>
      </w:pPr>
    </w:p>
    <w:p w14:paraId="7112893B" w14:textId="77777777" w:rsidR="00EF6959" w:rsidRDefault="00EF6959" w:rsidP="00E62866">
      <w:pPr>
        <w:spacing w:line="240" w:lineRule="auto"/>
        <w:jc w:val="both"/>
      </w:pPr>
    </w:p>
    <w:p w14:paraId="6F2794FE" w14:textId="77777777" w:rsidR="00EF6959" w:rsidRDefault="00EF6959" w:rsidP="00E62866">
      <w:pPr>
        <w:spacing w:line="240" w:lineRule="auto"/>
        <w:jc w:val="both"/>
      </w:pPr>
    </w:p>
    <w:p w14:paraId="5C8BB827" w14:textId="77777777" w:rsidR="00EF6959" w:rsidRDefault="00EF6959" w:rsidP="00E62866">
      <w:pPr>
        <w:spacing w:line="240" w:lineRule="auto"/>
        <w:jc w:val="both"/>
      </w:pPr>
    </w:p>
    <w:p w14:paraId="77248EF3" w14:textId="77777777" w:rsidR="00EF6959" w:rsidRDefault="00EF6959" w:rsidP="00E62866">
      <w:pPr>
        <w:spacing w:line="240" w:lineRule="auto"/>
        <w:jc w:val="both"/>
      </w:pPr>
    </w:p>
    <w:p w14:paraId="5FCC3230" w14:textId="4B0DAF3A" w:rsidR="0095337E" w:rsidRPr="0095337E" w:rsidRDefault="00EF6959" w:rsidP="00E62866">
      <w:pPr>
        <w:pStyle w:val="Caption"/>
        <w:spacing w:line="240" w:lineRule="auto"/>
        <w:rPr>
          <w:b/>
        </w:rPr>
      </w:pPr>
      <w:bookmarkStart w:id="118" w:name="_Toc455605351"/>
      <w:r>
        <w:rPr>
          <w:b/>
        </w:rPr>
        <w:lastRenderedPageBreak/>
        <w:t xml:space="preserve">Table </w:t>
      </w:r>
      <w:r w:rsidR="0095337E" w:rsidRPr="0095337E">
        <w:rPr>
          <w:b/>
        </w:rPr>
        <w:fldChar w:fldCharType="begin"/>
      </w:r>
      <w:r w:rsidR="0095337E" w:rsidRPr="0095337E">
        <w:rPr>
          <w:b/>
        </w:rPr>
        <w:instrText xml:space="preserve"> SEQ Table \* ARABIC </w:instrText>
      </w:r>
      <w:r w:rsidR="0095337E" w:rsidRPr="0095337E">
        <w:rPr>
          <w:b/>
        </w:rPr>
        <w:fldChar w:fldCharType="separate"/>
      </w:r>
      <w:r>
        <w:rPr>
          <w:b/>
          <w:noProof/>
        </w:rPr>
        <w:t>4</w:t>
      </w:r>
      <w:r w:rsidR="0095337E" w:rsidRPr="0095337E">
        <w:rPr>
          <w:b/>
        </w:rPr>
        <w:fldChar w:fldCharType="end"/>
      </w:r>
      <w:r w:rsidR="0095337E" w:rsidRPr="0095337E">
        <w:rPr>
          <w:b/>
        </w:rPr>
        <w:t xml:space="preserve">: </w:t>
      </w:r>
      <w:r w:rsidR="0095337E" w:rsidRPr="00EF6959">
        <w:t>Correlations</w:t>
      </w:r>
      <w:r w:rsidR="00954589" w:rsidRPr="00EF6959">
        <w:t xml:space="preserve"> between external factors and bank profitability</w:t>
      </w:r>
      <w:bookmarkEnd w:id="118"/>
      <w:r w:rsidR="00954589">
        <w:rPr>
          <w:b/>
        </w:rPr>
        <w:t xml:space="preserve"> </w:t>
      </w:r>
    </w:p>
    <w:tbl>
      <w:tblPr>
        <w:tblW w:w="9534"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3345"/>
        <w:gridCol w:w="3345"/>
        <w:gridCol w:w="2844"/>
      </w:tblGrid>
      <w:tr w:rsidR="0095337E" w14:paraId="6DA905EA" w14:textId="77777777" w:rsidTr="00C622E8">
        <w:trPr>
          <w:cantSplit/>
          <w:trHeight w:val="573"/>
          <w:tblHeader/>
        </w:trPr>
        <w:tc>
          <w:tcPr>
            <w:tcW w:w="3345" w:type="dxa"/>
            <w:tcBorders>
              <w:left w:val="nil"/>
              <w:right w:val="nil"/>
            </w:tcBorders>
            <w:shd w:val="clear" w:color="auto" w:fill="FFFFFF"/>
            <w:tcMar>
              <w:top w:w="30" w:type="dxa"/>
              <w:left w:w="30" w:type="dxa"/>
              <w:bottom w:w="30" w:type="dxa"/>
              <w:right w:w="30" w:type="dxa"/>
            </w:tcMar>
          </w:tcPr>
          <w:p w14:paraId="331BE0FF" w14:textId="77777777" w:rsidR="0095337E" w:rsidRDefault="0095337E" w:rsidP="00E62866">
            <w:pPr>
              <w:spacing w:line="240" w:lineRule="auto"/>
            </w:pPr>
          </w:p>
        </w:tc>
        <w:tc>
          <w:tcPr>
            <w:tcW w:w="3345" w:type="dxa"/>
            <w:tcBorders>
              <w:left w:val="nil"/>
              <w:right w:val="nil"/>
            </w:tcBorders>
            <w:shd w:val="clear" w:color="auto" w:fill="FFFFFF"/>
            <w:tcMar>
              <w:top w:w="30" w:type="dxa"/>
              <w:left w:w="30" w:type="dxa"/>
              <w:bottom w:w="30" w:type="dxa"/>
              <w:right w:w="30" w:type="dxa"/>
            </w:tcMar>
          </w:tcPr>
          <w:p w14:paraId="4F937678" w14:textId="77777777" w:rsidR="0095337E" w:rsidRDefault="0095337E" w:rsidP="00E62866">
            <w:pPr>
              <w:spacing w:line="240" w:lineRule="auto"/>
            </w:pPr>
          </w:p>
        </w:tc>
        <w:tc>
          <w:tcPr>
            <w:tcW w:w="2844" w:type="dxa"/>
            <w:tcBorders>
              <w:left w:val="nil"/>
              <w:right w:val="nil"/>
            </w:tcBorders>
            <w:shd w:val="clear" w:color="auto" w:fill="FFFFFF"/>
            <w:tcMar>
              <w:top w:w="30" w:type="dxa"/>
              <w:left w:w="30" w:type="dxa"/>
              <w:bottom w:w="30" w:type="dxa"/>
              <w:right w:w="30" w:type="dxa"/>
            </w:tcMar>
            <w:vAlign w:val="bottom"/>
          </w:tcPr>
          <w:p w14:paraId="6734BFA5" w14:textId="77777777" w:rsidR="0095337E" w:rsidRDefault="0095337E" w:rsidP="00E62866">
            <w:pPr>
              <w:spacing w:line="240" w:lineRule="auto"/>
              <w:jc w:val="center"/>
            </w:pPr>
            <w:r>
              <w:t>Bank Profitability</w:t>
            </w:r>
          </w:p>
        </w:tc>
      </w:tr>
      <w:tr w:rsidR="0095337E" w14:paraId="5A7A3084" w14:textId="77777777" w:rsidTr="00C622E8">
        <w:trPr>
          <w:cantSplit/>
          <w:trHeight w:val="600"/>
          <w:tblHeader/>
        </w:trPr>
        <w:tc>
          <w:tcPr>
            <w:tcW w:w="3345" w:type="dxa"/>
            <w:vMerge w:val="restart"/>
            <w:tcBorders>
              <w:left w:val="nil"/>
              <w:right w:val="nil"/>
            </w:tcBorders>
            <w:shd w:val="clear" w:color="auto" w:fill="FFFFFF"/>
            <w:tcMar>
              <w:top w:w="30" w:type="dxa"/>
              <w:left w:w="30" w:type="dxa"/>
              <w:bottom w:w="30" w:type="dxa"/>
              <w:right w:w="30" w:type="dxa"/>
            </w:tcMar>
          </w:tcPr>
          <w:p w14:paraId="0854CE35" w14:textId="77777777" w:rsidR="0095337E" w:rsidRDefault="0095337E" w:rsidP="00E62866">
            <w:pPr>
              <w:spacing w:line="240" w:lineRule="auto"/>
            </w:pPr>
            <w:r>
              <w:t>Political stability</w:t>
            </w:r>
          </w:p>
        </w:tc>
        <w:tc>
          <w:tcPr>
            <w:tcW w:w="3345" w:type="dxa"/>
            <w:tcBorders>
              <w:left w:val="nil"/>
              <w:bottom w:val="nil"/>
              <w:right w:val="nil"/>
            </w:tcBorders>
            <w:shd w:val="clear" w:color="auto" w:fill="FFFFFF"/>
            <w:tcMar>
              <w:top w:w="30" w:type="dxa"/>
              <w:left w:w="30" w:type="dxa"/>
              <w:bottom w:w="30" w:type="dxa"/>
              <w:right w:w="30" w:type="dxa"/>
            </w:tcMar>
          </w:tcPr>
          <w:p w14:paraId="387785D2" w14:textId="77777777" w:rsidR="0095337E" w:rsidRDefault="0095337E" w:rsidP="00E62866">
            <w:pPr>
              <w:spacing w:line="240" w:lineRule="auto"/>
            </w:pPr>
            <w:r>
              <w:t>Pearson Correlation</w:t>
            </w:r>
          </w:p>
        </w:tc>
        <w:tc>
          <w:tcPr>
            <w:tcW w:w="2844" w:type="dxa"/>
            <w:tcBorders>
              <w:left w:val="nil"/>
              <w:bottom w:val="nil"/>
              <w:right w:val="nil"/>
            </w:tcBorders>
            <w:shd w:val="clear" w:color="auto" w:fill="FFFFFF"/>
            <w:tcMar>
              <w:top w:w="30" w:type="dxa"/>
              <w:left w:w="30" w:type="dxa"/>
              <w:bottom w:w="30" w:type="dxa"/>
              <w:right w:w="30" w:type="dxa"/>
            </w:tcMar>
            <w:vAlign w:val="center"/>
          </w:tcPr>
          <w:p w14:paraId="5C559677" w14:textId="77777777" w:rsidR="0095337E" w:rsidRDefault="0095337E" w:rsidP="00E62866">
            <w:pPr>
              <w:spacing w:line="240" w:lineRule="auto"/>
              <w:jc w:val="right"/>
            </w:pPr>
            <w:r>
              <w:t>.872</w:t>
            </w:r>
            <w:r>
              <w:rPr>
                <w:vertAlign w:val="superscript"/>
              </w:rPr>
              <w:t>**</w:t>
            </w:r>
          </w:p>
        </w:tc>
      </w:tr>
      <w:tr w:rsidR="0095337E" w14:paraId="325C0B5E" w14:textId="77777777" w:rsidTr="00C622E8">
        <w:trPr>
          <w:cantSplit/>
          <w:trHeight w:val="346"/>
          <w:tblHeader/>
        </w:trPr>
        <w:tc>
          <w:tcPr>
            <w:tcW w:w="3345" w:type="dxa"/>
            <w:vMerge/>
            <w:tcBorders>
              <w:left w:val="nil"/>
              <w:right w:val="nil"/>
            </w:tcBorders>
            <w:shd w:val="clear" w:color="auto" w:fill="FFFFFF"/>
            <w:tcMar>
              <w:top w:w="30" w:type="dxa"/>
              <w:left w:w="30" w:type="dxa"/>
              <w:bottom w:w="30" w:type="dxa"/>
              <w:right w:w="30" w:type="dxa"/>
            </w:tcMar>
          </w:tcPr>
          <w:p w14:paraId="1CA41744" w14:textId="77777777" w:rsidR="0095337E" w:rsidRDefault="0095337E" w:rsidP="00E62866">
            <w:pPr>
              <w:spacing w:line="240" w:lineRule="auto"/>
            </w:pPr>
          </w:p>
        </w:tc>
        <w:tc>
          <w:tcPr>
            <w:tcW w:w="3345" w:type="dxa"/>
            <w:tcBorders>
              <w:top w:val="nil"/>
              <w:left w:val="nil"/>
              <w:bottom w:val="nil"/>
              <w:right w:val="nil"/>
            </w:tcBorders>
            <w:shd w:val="clear" w:color="auto" w:fill="FFFFFF"/>
            <w:tcMar>
              <w:top w:w="30" w:type="dxa"/>
              <w:left w:w="30" w:type="dxa"/>
              <w:bottom w:w="30" w:type="dxa"/>
              <w:right w:w="30" w:type="dxa"/>
            </w:tcMar>
          </w:tcPr>
          <w:p w14:paraId="5E1D40FA" w14:textId="77777777" w:rsidR="0095337E" w:rsidRDefault="0095337E" w:rsidP="00E62866">
            <w:pPr>
              <w:spacing w:line="240" w:lineRule="auto"/>
            </w:pPr>
            <w:r>
              <w:t>Sig. (2-tailed)</w:t>
            </w:r>
          </w:p>
        </w:tc>
        <w:tc>
          <w:tcPr>
            <w:tcW w:w="2844" w:type="dxa"/>
            <w:tcBorders>
              <w:top w:val="nil"/>
              <w:left w:val="nil"/>
              <w:bottom w:val="nil"/>
              <w:right w:val="nil"/>
            </w:tcBorders>
            <w:shd w:val="clear" w:color="auto" w:fill="FFFFFF"/>
            <w:tcMar>
              <w:top w:w="30" w:type="dxa"/>
              <w:left w:w="30" w:type="dxa"/>
              <w:bottom w:w="30" w:type="dxa"/>
              <w:right w:w="30" w:type="dxa"/>
            </w:tcMar>
            <w:vAlign w:val="center"/>
          </w:tcPr>
          <w:p w14:paraId="23529648" w14:textId="77777777" w:rsidR="0095337E" w:rsidRDefault="0095337E" w:rsidP="00E62866">
            <w:pPr>
              <w:spacing w:line="240" w:lineRule="auto"/>
              <w:jc w:val="right"/>
            </w:pPr>
            <w:r>
              <w:t>.000</w:t>
            </w:r>
          </w:p>
        </w:tc>
      </w:tr>
      <w:tr w:rsidR="0095337E" w14:paraId="24DB9772" w14:textId="77777777" w:rsidTr="00C622E8">
        <w:trPr>
          <w:cantSplit/>
          <w:trHeight w:val="332"/>
          <w:tblHeader/>
        </w:trPr>
        <w:tc>
          <w:tcPr>
            <w:tcW w:w="3345" w:type="dxa"/>
            <w:vMerge/>
            <w:tcBorders>
              <w:left w:val="nil"/>
              <w:right w:val="nil"/>
            </w:tcBorders>
            <w:shd w:val="clear" w:color="auto" w:fill="FFFFFF"/>
            <w:tcMar>
              <w:top w:w="30" w:type="dxa"/>
              <w:left w:w="30" w:type="dxa"/>
              <w:bottom w:w="30" w:type="dxa"/>
              <w:right w:w="30" w:type="dxa"/>
            </w:tcMar>
          </w:tcPr>
          <w:p w14:paraId="102CEC5E" w14:textId="77777777" w:rsidR="0095337E" w:rsidRDefault="0095337E" w:rsidP="00E62866">
            <w:pPr>
              <w:spacing w:line="240" w:lineRule="auto"/>
            </w:pPr>
          </w:p>
        </w:tc>
        <w:tc>
          <w:tcPr>
            <w:tcW w:w="3345" w:type="dxa"/>
            <w:tcBorders>
              <w:top w:val="nil"/>
              <w:left w:val="nil"/>
              <w:right w:val="nil"/>
            </w:tcBorders>
            <w:shd w:val="clear" w:color="auto" w:fill="FFFFFF"/>
            <w:tcMar>
              <w:top w:w="30" w:type="dxa"/>
              <w:left w:w="30" w:type="dxa"/>
              <w:bottom w:w="30" w:type="dxa"/>
              <w:right w:w="30" w:type="dxa"/>
            </w:tcMar>
          </w:tcPr>
          <w:p w14:paraId="2674961C" w14:textId="77777777" w:rsidR="0095337E" w:rsidRDefault="0095337E" w:rsidP="00E62866">
            <w:pPr>
              <w:spacing w:line="240" w:lineRule="auto"/>
            </w:pPr>
            <w:r>
              <w:t>N</w:t>
            </w:r>
          </w:p>
        </w:tc>
        <w:tc>
          <w:tcPr>
            <w:tcW w:w="2844" w:type="dxa"/>
            <w:tcBorders>
              <w:top w:val="nil"/>
              <w:left w:val="nil"/>
              <w:right w:val="nil"/>
            </w:tcBorders>
            <w:shd w:val="clear" w:color="auto" w:fill="FFFFFF"/>
            <w:tcMar>
              <w:top w:w="30" w:type="dxa"/>
              <w:left w:w="30" w:type="dxa"/>
              <w:bottom w:w="30" w:type="dxa"/>
              <w:right w:w="30" w:type="dxa"/>
            </w:tcMar>
            <w:vAlign w:val="center"/>
          </w:tcPr>
          <w:p w14:paraId="61AF8058" w14:textId="77777777" w:rsidR="0095337E" w:rsidRDefault="0095337E" w:rsidP="00E62866">
            <w:pPr>
              <w:spacing w:line="240" w:lineRule="auto"/>
              <w:jc w:val="right"/>
            </w:pPr>
            <w:r>
              <w:t>82</w:t>
            </w:r>
          </w:p>
        </w:tc>
      </w:tr>
      <w:tr w:rsidR="0095337E" w14:paraId="4BBB36DA" w14:textId="77777777" w:rsidTr="00C622E8">
        <w:trPr>
          <w:cantSplit/>
          <w:trHeight w:val="600"/>
          <w:tblHeader/>
        </w:trPr>
        <w:tc>
          <w:tcPr>
            <w:tcW w:w="3345" w:type="dxa"/>
            <w:vMerge w:val="restart"/>
            <w:tcBorders>
              <w:left w:val="nil"/>
              <w:right w:val="nil"/>
            </w:tcBorders>
            <w:shd w:val="clear" w:color="auto" w:fill="FFFFFF"/>
            <w:tcMar>
              <w:top w:w="30" w:type="dxa"/>
              <w:left w:w="30" w:type="dxa"/>
              <w:bottom w:w="30" w:type="dxa"/>
              <w:right w:w="30" w:type="dxa"/>
            </w:tcMar>
          </w:tcPr>
          <w:p w14:paraId="174DC456" w14:textId="77777777" w:rsidR="0095337E" w:rsidRDefault="0095337E" w:rsidP="00E62866">
            <w:pPr>
              <w:spacing w:line="240" w:lineRule="auto"/>
            </w:pPr>
            <w:r>
              <w:t>Commodity Price</w:t>
            </w:r>
          </w:p>
        </w:tc>
        <w:tc>
          <w:tcPr>
            <w:tcW w:w="3345" w:type="dxa"/>
            <w:tcBorders>
              <w:left w:val="nil"/>
              <w:bottom w:val="nil"/>
              <w:right w:val="nil"/>
            </w:tcBorders>
            <w:shd w:val="clear" w:color="auto" w:fill="FFFFFF"/>
            <w:tcMar>
              <w:top w:w="30" w:type="dxa"/>
              <w:left w:w="30" w:type="dxa"/>
              <w:bottom w:w="30" w:type="dxa"/>
              <w:right w:w="30" w:type="dxa"/>
            </w:tcMar>
          </w:tcPr>
          <w:p w14:paraId="1D71DB81" w14:textId="77777777" w:rsidR="0095337E" w:rsidRDefault="0095337E" w:rsidP="00E62866">
            <w:pPr>
              <w:spacing w:line="240" w:lineRule="auto"/>
            </w:pPr>
            <w:r>
              <w:t>Pearson Correlation</w:t>
            </w:r>
          </w:p>
        </w:tc>
        <w:tc>
          <w:tcPr>
            <w:tcW w:w="2844" w:type="dxa"/>
            <w:tcBorders>
              <w:left w:val="nil"/>
              <w:bottom w:val="nil"/>
              <w:right w:val="nil"/>
            </w:tcBorders>
            <w:shd w:val="clear" w:color="auto" w:fill="FFFFFF"/>
            <w:tcMar>
              <w:top w:w="30" w:type="dxa"/>
              <w:left w:w="30" w:type="dxa"/>
              <w:bottom w:w="30" w:type="dxa"/>
              <w:right w:w="30" w:type="dxa"/>
            </w:tcMar>
            <w:vAlign w:val="center"/>
          </w:tcPr>
          <w:p w14:paraId="33FEA98C" w14:textId="77777777" w:rsidR="0095337E" w:rsidRDefault="0095337E" w:rsidP="00E62866">
            <w:pPr>
              <w:spacing w:line="240" w:lineRule="auto"/>
              <w:jc w:val="right"/>
            </w:pPr>
            <w:r>
              <w:t>.942</w:t>
            </w:r>
            <w:r>
              <w:rPr>
                <w:vertAlign w:val="superscript"/>
              </w:rPr>
              <w:t>**</w:t>
            </w:r>
          </w:p>
        </w:tc>
      </w:tr>
      <w:tr w:rsidR="0095337E" w14:paraId="246576D1" w14:textId="77777777" w:rsidTr="00C622E8">
        <w:trPr>
          <w:cantSplit/>
          <w:trHeight w:val="359"/>
          <w:tblHeader/>
        </w:trPr>
        <w:tc>
          <w:tcPr>
            <w:tcW w:w="3345" w:type="dxa"/>
            <w:vMerge/>
            <w:tcBorders>
              <w:left w:val="nil"/>
              <w:right w:val="nil"/>
            </w:tcBorders>
            <w:shd w:val="clear" w:color="auto" w:fill="FFFFFF"/>
            <w:tcMar>
              <w:top w:w="30" w:type="dxa"/>
              <w:left w:w="30" w:type="dxa"/>
              <w:bottom w:w="30" w:type="dxa"/>
              <w:right w:w="30" w:type="dxa"/>
            </w:tcMar>
          </w:tcPr>
          <w:p w14:paraId="68341E9D" w14:textId="77777777" w:rsidR="0095337E" w:rsidRDefault="0095337E" w:rsidP="00E62866">
            <w:pPr>
              <w:spacing w:line="240" w:lineRule="auto"/>
            </w:pPr>
          </w:p>
        </w:tc>
        <w:tc>
          <w:tcPr>
            <w:tcW w:w="3345" w:type="dxa"/>
            <w:tcBorders>
              <w:top w:val="nil"/>
              <w:left w:val="nil"/>
              <w:bottom w:val="nil"/>
              <w:right w:val="nil"/>
            </w:tcBorders>
            <w:shd w:val="clear" w:color="auto" w:fill="FFFFFF"/>
            <w:tcMar>
              <w:top w:w="30" w:type="dxa"/>
              <w:left w:w="30" w:type="dxa"/>
              <w:bottom w:w="30" w:type="dxa"/>
              <w:right w:w="30" w:type="dxa"/>
            </w:tcMar>
          </w:tcPr>
          <w:p w14:paraId="32874993" w14:textId="77777777" w:rsidR="0095337E" w:rsidRDefault="0095337E" w:rsidP="00E62866">
            <w:pPr>
              <w:spacing w:line="240" w:lineRule="auto"/>
            </w:pPr>
            <w:r>
              <w:t>Sig. (2-tailed)</w:t>
            </w:r>
          </w:p>
        </w:tc>
        <w:tc>
          <w:tcPr>
            <w:tcW w:w="2844" w:type="dxa"/>
            <w:tcBorders>
              <w:top w:val="nil"/>
              <w:left w:val="nil"/>
              <w:bottom w:val="nil"/>
              <w:right w:val="nil"/>
            </w:tcBorders>
            <w:shd w:val="clear" w:color="auto" w:fill="FFFFFF"/>
            <w:tcMar>
              <w:top w:w="30" w:type="dxa"/>
              <w:left w:w="30" w:type="dxa"/>
              <w:bottom w:w="30" w:type="dxa"/>
              <w:right w:w="30" w:type="dxa"/>
            </w:tcMar>
            <w:vAlign w:val="center"/>
          </w:tcPr>
          <w:p w14:paraId="0B1E4C65" w14:textId="77777777" w:rsidR="0095337E" w:rsidRDefault="0095337E" w:rsidP="00E62866">
            <w:pPr>
              <w:spacing w:line="240" w:lineRule="auto"/>
              <w:jc w:val="right"/>
            </w:pPr>
            <w:r>
              <w:t>.000</w:t>
            </w:r>
          </w:p>
        </w:tc>
      </w:tr>
      <w:tr w:rsidR="0095337E" w14:paraId="25E9F9AF" w14:textId="77777777" w:rsidTr="00C622E8">
        <w:trPr>
          <w:cantSplit/>
          <w:trHeight w:val="319"/>
          <w:tblHeader/>
        </w:trPr>
        <w:tc>
          <w:tcPr>
            <w:tcW w:w="3345" w:type="dxa"/>
            <w:vMerge/>
            <w:tcBorders>
              <w:left w:val="nil"/>
              <w:right w:val="nil"/>
            </w:tcBorders>
            <w:shd w:val="clear" w:color="auto" w:fill="FFFFFF"/>
            <w:tcMar>
              <w:top w:w="30" w:type="dxa"/>
              <w:left w:w="30" w:type="dxa"/>
              <w:bottom w:w="30" w:type="dxa"/>
              <w:right w:w="30" w:type="dxa"/>
            </w:tcMar>
          </w:tcPr>
          <w:p w14:paraId="638BE546" w14:textId="77777777" w:rsidR="0095337E" w:rsidRDefault="0095337E" w:rsidP="00E62866">
            <w:pPr>
              <w:spacing w:line="240" w:lineRule="auto"/>
            </w:pPr>
          </w:p>
        </w:tc>
        <w:tc>
          <w:tcPr>
            <w:tcW w:w="3345" w:type="dxa"/>
            <w:tcBorders>
              <w:top w:val="nil"/>
              <w:left w:val="nil"/>
              <w:right w:val="nil"/>
            </w:tcBorders>
            <w:shd w:val="clear" w:color="auto" w:fill="FFFFFF"/>
            <w:tcMar>
              <w:top w:w="30" w:type="dxa"/>
              <w:left w:w="30" w:type="dxa"/>
              <w:bottom w:w="30" w:type="dxa"/>
              <w:right w:w="30" w:type="dxa"/>
            </w:tcMar>
          </w:tcPr>
          <w:p w14:paraId="08E794DC" w14:textId="77777777" w:rsidR="0095337E" w:rsidRDefault="0095337E" w:rsidP="00E62866">
            <w:pPr>
              <w:spacing w:line="240" w:lineRule="auto"/>
            </w:pPr>
            <w:r>
              <w:t>N</w:t>
            </w:r>
          </w:p>
        </w:tc>
        <w:tc>
          <w:tcPr>
            <w:tcW w:w="2844" w:type="dxa"/>
            <w:tcBorders>
              <w:top w:val="nil"/>
              <w:left w:val="nil"/>
              <w:right w:val="nil"/>
            </w:tcBorders>
            <w:shd w:val="clear" w:color="auto" w:fill="FFFFFF"/>
            <w:tcMar>
              <w:top w:w="30" w:type="dxa"/>
              <w:left w:w="30" w:type="dxa"/>
              <w:bottom w:w="30" w:type="dxa"/>
              <w:right w:w="30" w:type="dxa"/>
            </w:tcMar>
            <w:vAlign w:val="center"/>
          </w:tcPr>
          <w:p w14:paraId="37467B03" w14:textId="77777777" w:rsidR="0095337E" w:rsidRDefault="0095337E" w:rsidP="00E62866">
            <w:pPr>
              <w:spacing w:line="240" w:lineRule="auto"/>
              <w:jc w:val="right"/>
            </w:pPr>
            <w:r>
              <w:t>82</w:t>
            </w:r>
          </w:p>
        </w:tc>
      </w:tr>
      <w:tr w:rsidR="0095337E" w14:paraId="369E80EF" w14:textId="77777777" w:rsidTr="00C622E8">
        <w:trPr>
          <w:cantSplit/>
          <w:trHeight w:val="600"/>
          <w:tblHeader/>
        </w:trPr>
        <w:tc>
          <w:tcPr>
            <w:tcW w:w="3345" w:type="dxa"/>
            <w:vMerge w:val="restart"/>
            <w:tcBorders>
              <w:left w:val="nil"/>
              <w:right w:val="nil"/>
            </w:tcBorders>
            <w:shd w:val="clear" w:color="auto" w:fill="FFFFFF"/>
            <w:tcMar>
              <w:top w:w="30" w:type="dxa"/>
              <w:left w:w="30" w:type="dxa"/>
              <w:bottom w:w="30" w:type="dxa"/>
              <w:right w:w="30" w:type="dxa"/>
            </w:tcMar>
          </w:tcPr>
          <w:p w14:paraId="1C1C6F04" w14:textId="77777777" w:rsidR="0095337E" w:rsidRDefault="0095337E" w:rsidP="00E62866">
            <w:pPr>
              <w:spacing w:line="240" w:lineRule="auto"/>
            </w:pPr>
            <w:r>
              <w:t>Bank Concentration</w:t>
            </w:r>
          </w:p>
        </w:tc>
        <w:tc>
          <w:tcPr>
            <w:tcW w:w="3345" w:type="dxa"/>
            <w:tcBorders>
              <w:left w:val="nil"/>
              <w:bottom w:val="nil"/>
              <w:right w:val="nil"/>
            </w:tcBorders>
            <w:shd w:val="clear" w:color="auto" w:fill="FFFFFF"/>
            <w:tcMar>
              <w:top w:w="30" w:type="dxa"/>
              <w:left w:w="30" w:type="dxa"/>
              <w:bottom w:w="30" w:type="dxa"/>
              <w:right w:w="30" w:type="dxa"/>
            </w:tcMar>
          </w:tcPr>
          <w:p w14:paraId="09DBA806" w14:textId="77777777" w:rsidR="0095337E" w:rsidRDefault="0095337E" w:rsidP="00E62866">
            <w:pPr>
              <w:spacing w:line="240" w:lineRule="auto"/>
            </w:pPr>
            <w:r>
              <w:t>Pearson Correlation</w:t>
            </w:r>
          </w:p>
        </w:tc>
        <w:tc>
          <w:tcPr>
            <w:tcW w:w="2844" w:type="dxa"/>
            <w:tcBorders>
              <w:left w:val="nil"/>
              <w:bottom w:val="nil"/>
              <w:right w:val="nil"/>
            </w:tcBorders>
            <w:shd w:val="clear" w:color="auto" w:fill="FFFFFF"/>
            <w:tcMar>
              <w:top w:w="30" w:type="dxa"/>
              <w:left w:w="30" w:type="dxa"/>
              <w:bottom w:w="30" w:type="dxa"/>
              <w:right w:w="30" w:type="dxa"/>
            </w:tcMar>
            <w:vAlign w:val="center"/>
          </w:tcPr>
          <w:p w14:paraId="4AC9B12A" w14:textId="77777777" w:rsidR="0095337E" w:rsidRDefault="0095337E" w:rsidP="00E62866">
            <w:pPr>
              <w:spacing w:line="240" w:lineRule="auto"/>
              <w:jc w:val="right"/>
            </w:pPr>
            <w:r>
              <w:t>.932</w:t>
            </w:r>
            <w:r>
              <w:rPr>
                <w:vertAlign w:val="superscript"/>
              </w:rPr>
              <w:t>**</w:t>
            </w:r>
          </w:p>
        </w:tc>
      </w:tr>
      <w:tr w:rsidR="0095337E" w14:paraId="3FA0F70A" w14:textId="77777777" w:rsidTr="00C622E8">
        <w:trPr>
          <w:cantSplit/>
          <w:trHeight w:val="359"/>
          <w:tblHeader/>
        </w:trPr>
        <w:tc>
          <w:tcPr>
            <w:tcW w:w="3345" w:type="dxa"/>
            <w:vMerge/>
            <w:tcBorders>
              <w:left w:val="nil"/>
              <w:right w:val="nil"/>
            </w:tcBorders>
            <w:shd w:val="clear" w:color="auto" w:fill="FFFFFF"/>
            <w:tcMar>
              <w:top w:w="30" w:type="dxa"/>
              <w:left w:w="30" w:type="dxa"/>
              <w:bottom w:w="30" w:type="dxa"/>
              <w:right w:w="30" w:type="dxa"/>
            </w:tcMar>
          </w:tcPr>
          <w:p w14:paraId="79C52125" w14:textId="77777777" w:rsidR="0095337E" w:rsidRDefault="0095337E" w:rsidP="00E62866">
            <w:pPr>
              <w:spacing w:line="240" w:lineRule="auto"/>
            </w:pPr>
          </w:p>
        </w:tc>
        <w:tc>
          <w:tcPr>
            <w:tcW w:w="3345" w:type="dxa"/>
            <w:tcBorders>
              <w:top w:val="nil"/>
              <w:left w:val="nil"/>
              <w:bottom w:val="nil"/>
              <w:right w:val="nil"/>
            </w:tcBorders>
            <w:shd w:val="clear" w:color="auto" w:fill="FFFFFF"/>
            <w:tcMar>
              <w:top w:w="30" w:type="dxa"/>
              <w:left w:w="30" w:type="dxa"/>
              <w:bottom w:w="30" w:type="dxa"/>
              <w:right w:w="30" w:type="dxa"/>
            </w:tcMar>
          </w:tcPr>
          <w:p w14:paraId="1A957DDB" w14:textId="77777777" w:rsidR="0095337E" w:rsidRDefault="0095337E" w:rsidP="00E62866">
            <w:pPr>
              <w:spacing w:line="240" w:lineRule="auto"/>
            </w:pPr>
            <w:r>
              <w:t>Sig. (2-tailed)</w:t>
            </w:r>
          </w:p>
        </w:tc>
        <w:tc>
          <w:tcPr>
            <w:tcW w:w="2844" w:type="dxa"/>
            <w:tcBorders>
              <w:top w:val="nil"/>
              <w:left w:val="nil"/>
              <w:bottom w:val="nil"/>
              <w:right w:val="nil"/>
            </w:tcBorders>
            <w:shd w:val="clear" w:color="auto" w:fill="FFFFFF"/>
            <w:tcMar>
              <w:top w:w="30" w:type="dxa"/>
              <w:left w:w="30" w:type="dxa"/>
              <w:bottom w:w="30" w:type="dxa"/>
              <w:right w:w="30" w:type="dxa"/>
            </w:tcMar>
            <w:vAlign w:val="center"/>
          </w:tcPr>
          <w:p w14:paraId="740A064F" w14:textId="77777777" w:rsidR="0095337E" w:rsidRDefault="0095337E" w:rsidP="00E62866">
            <w:pPr>
              <w:spacing w:line="240" w:lineRule="auto"/>
              <w:jc w:val="right"/>
            </w:pPr>
            <w:r>
              <w:t>.000</w:t>
            </w:r>
          </w:p>
        </w:tc>
      </w:tr>
      <w:tr w:rsidR="0095337E" w14:paraId="507F3D6E" w14:textId="77777777" w:rsidTr="00C622E8">
        <w:trPr>
          <w:cantSplit/>
          <w:trHeight w:val="332"/>
          <w:tblHeader/>
        </w:trPr>
        <w:tc>
          <w:tcPr>
            <w:tcW w:w="3345" w:type="dxa"/>
            <w:vMerge/>
            <w:tcBorders>
              <w:left w:val="nil"/>
              <w:right w:val="nil"/>
            </w:tcBorders>
            <w:shd w:val="clear" w:color="auto" w:fill="FFFFFF"/>
            <w:tcMar>
              <w:top w:w="30" w:type="dxa"/>
              <w:left w:w="30" w:type="dxa"/>
              <w:bottom w:w="30" w:type="dxa"/>
              <w:right w:w="30" w:type="dxa"/>
            </w:tcMar>
          </w:tcPr>
          <w:p w14:paraId="1D321BAB" w14:textId="77777777" w:rsidR="0095337E" w:rsidRDefault="0095337E" w:rsidP="00E62866">
            <w:pPr>
              <w:spacing w:line="240" w:lineRule="auto"/>
            </w:pPr>
          </w:p>
        </w:tc>
        <w:tc>
          <w:tcPr>
            <w:tcW w:w="3345" w:type="dxa"/>
            <w:tcBorders>
              <w:top w:val="nil"/>
              <w:left w:val="nil"/>
              <w:right w:val="nil"/>
            </w:tcBorders>
            <w:shd w:val="clear" w:color="auto" w:fill="FFFFFF"/>
            <w:tcMar>
              <w:top w:w="30" w:type="dxa"/>
              <w:left w:w="30" w:type="dxa"/>
              <w:bottom w:w="30" w:type="dxa"/>
              <w:right w:w="30" w:type="dxa"/>
            </w:tcMar>
          </w:tcPr>
          <w:p w14:paraId="265C2B37" w14:textId="77777777" w:rsidR="0095337E" w:rsidRDefault="0095337E" w:rsidP="00E62866">
            <w:pPr>
              <w:spacing w:line="240" w:lineRule="auto"/>
            </w:pPr>
            <w:r>
              <w:t>N</w:t>
            </w:r>
          </w:p>
        </w:tc>
        <w:tc>
          <w:tcPr>
            <w:tcW w:w="2844" w:type="dxa"/>
            <w:tcBorders>
              <w:top w:val="nil"/>
              <w:left w:val="nil"/>
              <w:right w:val="nil"/>
            </w:tcBorders>
            <w:shd w:val="clear" w:color="auto" w:fill="FFFFFF"/>
            <w:tcMar>
              <w:top w:w="30" w:type="dxa"/>
              <w:left w:w="30" w:type="dxa"/>
              <w:bottom w:w="30" w:type="dxa"/>
              <w:right w:w="30" w:type="dxa"/>
            </w:tcMar>
            <w:vAlign w:val="center"/>
          </w:tcPr>
          <w:p w14:paraId="38F2AA62" w14:textId="77777777" w:rsidR="0095337E" w:rsidRDefault="0095337E" w:rsidP="00E62866">
            <w:pPr>
              <w:spacing w:line="240" w:lineRule="auto"/>
              <w:jc w:val="right"/>
            </w:pPr>
            <w:r>
              <w:t>82</w:t>
            </w:r>
          </w:p>
        </w:tc>
      </w:tr>
      <w:tr w:rsidR="0095337E" w14:paraId="76BE0B05" w14:textId="77777777" w:rsidTr="00C622E8">
        <w:trPr>
          <w:cantSplit/>
          <w:trHeight w:val="600"/>
          <w:tblHeader/>
        </w:trPr>
        <w:tc>
          <w:tcPr>
            <w:tcW w:w="3345" w:type="dxa"/>
            <w:vMerge w:val="restart"/>
            <w:tcBorders>
              <w:left w:val="nil"/>
              <w:right w:val="nil"/>
            </w:tcBorders>
            <w:shd w:val="clear" w:color="auto" w:fill="FFFFFF"/>
            <w:tcMar>
              <w:top w:w="30" w:type="dxa"/>
              <w:left w:w="30" w:type="dxa"/>
              <w:bottom w:w="30" w:type="dxa"/>
              <w:right w:w="30" w:type="dxa"/>
            </w:tcMar>
          </w:tcPr>
          <w:p w14:paraId="3C6477E8" w14:textId="77777777" w:rsidR="0095337E" w:rsidRDefault="0095337E" w:rsidP="00E62866">
            <w:pPr>
              <w:spacing w:line="240" w:lineRule="auto"/>
            </w:pPr>
            <w:r>
              <w:t>Money Supply</w:t>
            </w:r>
          </w:p>
        </w:tc>
        <w:tc>
          <w:tcPr>
            <w:tcW w:w="3345" w:type="dxa"/>
            <w:tcBorders>
              <w:left w:val="nil"/>
              <w:bottom w:val="nil"/>
              <w:right w:val="nil"/>
            </w:tcBorders>
            <w:shd w:val="clear" w:color="auto" w:fill="FFFFFF"/>
            <w:tcMar>
              <w:top w:w="30" w:type="dxa"/>
              <w:left w:w="30" w:type="dxa"/>
              <w:bottom w:w="30" w:type="dxa"/>
              <w:right w:w="30" w:type="dxa"/>
            </w:tcMar>
          </w:tcPr>
          <w:p w14:paraId="7558DC0A" w14:textId="77777777" w:rsidR="0095337E" w:rsidRDefault="0095337E" w:rsidP="00E62866">
            <w:pPr>
              <w:spacing w:line="240" w:lineRule="auto"/>
            </w:pPr>
            <w:r>
              <w:t>Pearson Correlation</w:t>
            </w:r>
          </w:p>
        </w:tc>
        <w:tc>
          <w:tcPr>
            <w:tcW w:w="2844" w:type="dxa"/>
            <w:tcBorders>
              <w:left w:val="nil"/>
              <w:bottom w:val="nil"/>
              <w:right w:val="nil"/>
            </w:tcBorders>
            <w:shd w:val="clear" w:color="auto" w:fill="FFFFFF"/>
            <w:tcMar>
              <w:top w:w="30" w:type="dxa"/>
              <w:left w:w="30" w:type="dxa"/>
              <w:bottom w:w="30" w:type="dxa"/>
              <w:right w:w="30" w:type="dxa"/>
            </w:tcMar>
            <w:vAlign w:val="center"/>
          </w:tcPr>
          <w:p w14:paraId="6CFE66E3" w14:textId="77777777" w:rsidR="0095337E" w:rsidRDefault="0095337E" w:rsidP="00E62866">
            <w:pPr>
              <w:spacing w:line="240" w:lineRule="auto"/>
              <w:jc w:val="right"/>
            </w:pPr>
            <w:r>
              <w:t>.945</w:t>
            </w:r>
            <w:r>
              <w:rPr>
                <w:vertAlign w:val="superscript"/>
              </w:rPr>
              <w:t>**</w:t>
            </w:r>
          </w:p>
        </w:tc>
      </w:tr>
      <w:tr w:rsidR="0095337E" w14:paraId="0B6423A2" w14:textId="77777777" w:rsidTr="00C622E8">
        <w:trPr>
          <w:cantSplit/>
          <w:trHeight w:val="346"/>
          <w:tblHeader/>
        </w:trPr>
        <w:tc>
          <w:tcPr>
            <w:tcW w:w="3345" w:type="dxa"/>
            <w:vMerge/>
            <w:tcBorders>
              <w:left w:val="nil"/>
              <w:right w:val="nil"/>
            </w:tcBorders>
            <w:shd w:val="clear" w:color="auto" w:fill="FFFFFF"/>
            <w:tcMar>
              <w:top w:w="30" w:type="dxa"/>
              <w:left w:w="30" w:type="dxa"/>
              <w:bottom w:w="30" w:type="dxa"/>
              <w:right w:w="30" w:type="dxa"/>
            </w:tcMar>
          </w:tcPr>
          <w:p w14:paraId="73B9C90E" w14:textId="77777777" w:rsidR="0095337E" w:rsidRDefault="0095337E" w:rsidP="00E62866">
            <w:pPr>
              <w:spacing w:line="240" w:lineRule="auto"/>
            </w:pPr>
          </w:p>
        </w:tc>
        <w:tc>
          <w:tcPr>
            <w:tcW w:w="3345" w:type="dxa"/>
            <w:tcBorders>
              <w:top w:val="nil"/>
              <w:left w:val="nil"/>
              <w:bottom w:val="nil"/>
              <w:right w:val="nil"/>
            </w:tcBorders>
            <w:shd w:val="clear" w:color="auto" w:fill="FFFFFF"/>
            <w:tcMar>
              <w:top w:w="30" w:type="dxa"/>
              <w:left w:w="30" w:type="dxa"/>
              <w:bottom w:w="30" w:type="dxa"/>
              <w:right w:w="30" w:type="dxa"/>
            </w:tcMar>
          </w:tcPr>
          <w:p w14:paraId="3963233C" w14:textId="77777777" w:rsidR="0095337E" w:rsidRDefault="0095337E" w:rsidP="00E62866">
            <w:pPr>
              <w:spacing w:line="240" w:lineRule="auto"/>
            </w:pPr>
            <w:r>
              <w:t>Sig. (2-tailed)</w:t>
            </w:r>
          </w:p>
        </w:tc>
        <w:tc>
          <w:tcPr>
            <w:tcW w:w="2844" w:type="dxa"/>
            <w:tcBorders>
              <w:top w:val="nil"/>
              <w:left w:val="nil"/>
              <w:bottom w:val="nil"/>
              <w:right w:val="nil"/>
            </w:tcBorders>
            <w:shd w:val="clear" w:color="auto" w:fill="FFFFFF"/>
            <w:tcMar>
              <w:top w:w="30" w:type="dxa"/>
              <w:left w:w="30" w:type="dxa"/>
              <w:bottom w:w="30" w:type="dxa"/>
              <w:right w:w="30" w:type="dxa"/>
            </w:tcMar>
            <w:vAlign w:val="center"/>
          </w:tcPr>
          <w:p w14:paraId="2B4B8618" w14:textId="77777777" w:rsidR="0095337E" w:rsidRDefault="0095337E" w:rsidP="00E62866">
            <w:pPr>
              <w:spacing w:line="240" w:lineRule="auto"/>
              <w:jc w:val="right"/>
            </w:pPr>
            <w:r>
              <w:t>.000</w:t>
            </w:r>
          </w:p>
        </w:tc>
      </w:tr>
      <w:tr w:rsidR="0095337E" w14:paraId="074EEAA7" w14:textId="77777777" w:rsidTr="00C622E8">
        <w:trPr>
          <w:cantSplit/>
          <w:trHeight w:val="332"/>
          <w:tblHeader/>
        </w:trPr>
        <w:tc>
          <w:tcPr>
            <w:tcW w:w="3345" w:type="dxa"/>
            <w:vMerge/>
            <w:tcBorders>
              <w:left w:val="nil"/>
              <w:right w:val="nil"/>
            </w:tcBorders>
            <w:shd w:val="clear" w:color="auto" w:fill="FFFFFF"/>
            <w:tcMar>
              <w:top w:w="30" w:type="dxa"/>
              <w:left w:w="30" w:type="dxa"/>
              <w:bottom w:w="30" w:type="dxa"/>
              <w:right w:w="30" w:type="dxa"/>
            </w:tcMar>
          </w:tcPr>
          <w:p w14:paraId="1BB7BA52" w14:textId="77777777" w:rsidR="0095337E" w:rsidRDefault="0095337E" w:rsidP="00E62866">
            <w:pPr>
              <w:spacing w:line="240" w:lineRule="auto"/>
            </w:pPr>
          </w:p>
        </w:tc>
        <w:tc>
          <w:tcPr>
            <w:tcW w:w="3345" w:type="dxa"/>
            <w:tcBorders>
              <w:top w:val="nil"/>
              <w:left w:val="nil"/>
              <w:right w:val="nil"/>
            </w:tcBorders>
            <w:shd w:val="clear" w:color="auto" w:fill="FFFFFF"/>
            <w:tcMar>
              <w:top w:w="30" w:type="dxa"/>
              <w:left w:w="30" w:type="dxa"/>
              <w:bottom w:w="30" w:type="dxa"/>
              <w:right w:w="30" w:type="dxa"/>
            </w:tcMar>
          </w:tcPr>
          <w:p w14:paraId="7273A5AA" w14:textId="77777777" w:rsidR="0095337E" w:rsidRDefault="0095337E" w:rsidP="00E62866">
            <w:pPr>
              <w:spacing w:line="240" w:lineRule="auto"/>
            </w:pPr>
            <w:r>
              <w:t>N</w:t>
            </w:r>
          </w:p>
        </w:tc>
        <w:tc>
          <w:tcPr>
            <w:tcW w:w="2844" w:type="dxa"/>
            <w:tcBorders>
              <w:top w:val="nil"/>
              <w:left w:val="nil"/>
              <w:right w:val="nil"/>
            </w:tcBorders>
            <w:shd w:val="clear" w:color="auto" w:fill="FFFFFF"/>
            <w:tcMar>
              <w:top w:w="30" w:type="dxa"/>
              <w:left w:w="30" w:type="dxa"/>
              <w:bottom w:w="30" w:type="dxa"/>
              <w:right w:w="30" w:type="dxa"/>
            </w:tcMar>
            <w:vAlign w:val="center"/>
          </w:tcPr>
          <w:p w14:paraId="59A76EB5" w14:textId="77777777" w:rsidR="0095337E" w:rsidRDefault="0095337E" w:rsidP="00E62866">
            <w:pPr>
              <w:spacing w:line="240" w:lineRule="auto"/>
              <w:jc w:val="right"/>
            </w:pPr>
            <w:r>
              <w:t>82</w:t>
            </w:r>
          </w:p>
        </w:tc>
      </w:tr>
    </w:tbl>
    <w:p w14:paraId="5B16831F" w14:textId="6B8F36D9" w:rsidR="0095337E" w:rsidRDefault="002A055D" w:rsidP="00E62866">
      <w:pPr>
        <w:spacing w:line="240" w:lineRule="auto"/>
        <w:jc w:val="both"/>
        <w:rPr>
          <w:b/>
        </w:rPr>
      </w:pPr>
      <w:r w:rsidRPr="00016C50">
        <w:rPr>
          <w:b/>
        </w:rPr>
        <w:t>Source: Researcher</w:t>
      </w:r>
      <w:r>
        <w:rPr>
          <w:b/>
        </w:rPr>
        <w:t>, 2016</w:t>
      </w:r>
    </w:p>
    <w:p w14:paraId="2C90FEBF" w14:textId="54BAD6EF" w:rsidR="002A055D" w:rsidRDefault="008811D5" w:rsidP="00E62866">
      <w:pPr>
        <w:pStyle w:val="NoSpacing"/>
        <w:jc w:val="both"/>
        <w:rPr>
          <w:rFonts w:ascii="Times New Roman" w:hAnsi="Times New Roman"/>
        </w:rPr>
      </w:pPr>
      <w:r w:rsidRPr="002A055D">
        <w:rPr>
          <w:rFonts w:ascii="Times New Roman" w:hAnsi="Times New Roman"/>
        </w:rPr>
        <w:t>Table</w:t>
      </w:r>
      <w:r w:rsidR="00586B08">
        <w:rPr>
          <w:rFonts w:ascii="Times New Roman" w:hAnsi="Times New Roman"/>
        </w:rPr>
        <w:t xml:space="preserve"> 4</w:t>
      </w:r>
      <w:r w:rsidRPr="002A055D">
        <w:rPr>
          <w:rFonts w:ascii="Times New Roman" w:hAnsi="Times New Roman"/>
        </w:rPr>
        <w:t xml:space="preserve"> </w:t>
      </w:r>
      <w:r w:rsidRPr="002A055D">
        <w:rPr>
          <w:rFonts w:ascii="Times New Roman" w:hAnsi="Times New Roman"/>
          <w:noProof/>
        </w:rPr>
        <w:t xml:space="preserve">indicates that </w:t>
      </w:r>
      <w:r w:rsidR="00DA006E" w:rsidRPr="002A055D">
        <w:rPr>
          <w:rFonts w:ascii="Times New Roman" w:hAnsi="Times New Roman"/>
          <w:noProof/>
        </w:rPr>
        <w:t xml:space="preserve">, </w:t>
      </w:r>
      <w:r w:rsidR="00DA006E" w:rsidRPr="002A055D">
        <w:rPr>
          <w:rFonts w:ascii="Times New Roman" w:hAnsi="Times New Roman"/>
        </w:rPr>
        <w:t>political stability correlates to profitability of Bank of Kigali on the rate of 87.2%, commodity price correlates to profitability of Bank of Kigali on the rate of 94.2%</w:t>
      </w:r>
      <w:r w:rsidR="002A055D" w:rsidRPr="002A055D">
        <w:rPr>
          <w:rFonts w:ascii="Times New Roman" w:hAnsi="Times New Roman"/>
        </w:rPr>
        <w:t xml:space="preserve">, </w:t>
      </w:r>
      <w:proofErr w:type="gramStart"/>
      <w:r w:rsidR="002A055D" w:rsidRPr="002A055D">
        <w:rPr>
          <w:rFonts w:ascii="Times New Roman" w:hAnsi="Times New Roman"/>
        </w:rPr>
        <w:t>bank</w:t>
      </w:r>
      <w:proofErr w:type="gramEnd"/>
      <w:r w:rsidR="00DA006E" w:rsidRPr="002A055D">
        <w:rPr>
          <w:rFonts w:ascii="Times New Roman" w:hAnsi="Times New Roman"/>
        </w:rPr>
        <w:t xml:space="preserve"> concentration correlates on the rate of 93.2%, money supply</w:t>
      </w:r>
      <w:r w:rsidR="00DA006E" w:rsidRPr="002A055D">
        <w:rPr>
          <w:rFonts w:ascii="Times New Roman" w:hAnsi="Times New Roman"/>
          <w:noProof/>
        </w:rPr>
        <w:t xml:space="preserve"> </w:t>
      </w:r>
      <w:r w:rsidR="00DA006E" w:rsidRPr="002A055D">
        <w:rPr>
          <w:rFonts w:ascii="Times New Roman" w:hAnsi="Times New Roman"/>
        </w:rPr>
        <w:t>correlates on the rate of 94.5%.</w:t>
      </w:r>
      <w:r w:rsidR="002A055D" w:rsidRPr="002A055D">
        <w:rPr>
          <w:rFonts w:ascii="Times New Roman" w:hAnsi="Times New Roman"/>
        </w:rPr>
        <w:t xml:space="preserve"> These imply that, the relationship between bank concentration and profitability depends critically on what factors are held constant and reviewed studies confirmed these findings. Central Bank, through expansionary monetary policy, increases the supply of money inducing a decline in price level and vice versa.  As concentrated banks are able to ration cred</w:t>
      </w:r>
      <w:r w:rsidR="00C622E8">
        <w:rPr>
          <w:rFonts w:ascii="Times New Roman" w:hAnsi="Times New Roman"/>
        </w:rPr>
        <w:t>it, the amount of credit should be</w:t>
      </w:r>
      <w:r w:rsidR="002A055D" w:rsidRPr="002A055D">
        <w:rPr>
          <w:rFonts w:ascii="Times New Roman" w:hAnsi="Times New Roman"/>
        </w:rPr>
        <w:t xml:space="preserve"> lower; however, with the higher profit margins</w:t>
      </w:r>
      <w:r w:rsidR="00272D76">
        <w:rPr>
          <w:rFonts w:ascii="Times New Roman" w:hAnsi="Times New Roman"/>
        </w:rPr>
        <w:t>.</w:t>
      </w:r>
    </w:p>
    <w:p w14:paraId="1ED45EB3" w14:textId="77777777" w:rsidR="00586B08" w:rsidRDefault="00586B08" w:rsidP="00E62866">
      <w:pPr>
        <w:pStyle w:val="NoSpacing"/>
        <w:jc w:val="both"/>
        <w:rPr>
          <w:rFonts w:ascii="Times New Roman" w:hAnsi="Times New Roman"/>
        </w:rPr>
      </w:pPr>
    </w:p>
    <w:p w14:paraId="5441C4A1" w14:textId="77777777" w:rsidR="00586B08" w:rsidRDefault="00586B08" w:rsidP="00E62866">
      <w:pPr>
        <w:pStyle w:val="NoSpacing"/>
        <w:jc w:val="both"/>
        <w:rPr>
          <w:rFonts w:ascii="Times New Roman" w:hAnsi="Times New Roman"/>
        </w:rPr>
      </w:pPr>
    </w:p>
    <w:p w14:paraId="7A2138E4" w14:textId="77777777" w:rsidR="00586B08" w:rsidRDefault="00586B08" w:rsidP="00E62866">
      <w:pPr>
        <w:pStyle w:val="NoSpacing"/>
        <w:jc w:val="both"/>
        <w:rPr>
          <w:rFonts w:ascii="Times New Roman" w:hAnsi="Times New Roman"/>
        </w:rPr>
      </w:pPr>
    </w:p>
    <w:p w14:paraId="67906BF3" w14:textId="77777777" w:rsidR="00586B08" w:rsidRDefault="00586B08" w:rsidP="00E62866">
      <w:pPr>
        <w:pStyle w:val="NoSpacing"/>
        <w:jc w:val="both"/>
        <w:rPr>
          <w:rFonts w:ascii="Times New Roman" w:hAnsi="Times New Roman"/>
        </w:rPr>
      </w:pPr>
    </w:p>
    <w:p w14:paraId="2A8A437D" w14:textId="77777777" w:rsidR="00586B08" w:rsidRDefault="00586B08" w:rsidP="00E62866">
      <w:pPr>
        <w:pStyle w:val="NoSpacing"/>
        <w:jc w:val="both"/>
        <w:rPr>
          <w:rFonts w:ascii="Times New Roman" w:hAnsi="Times New Roman"/>
        </w:rPr>
      </w:pPr>
    </w:p>
    <w:p w14:paraId="154BCFB4" w14:textId="77777777" w:rsidR="00586B08" w:rsidRDefault="00586B08" w:rsidP="00E62866">
      <w:pPr>
        <w:pStyle w:val="NoSpacing"/>
        <w:jc w:val="both"/>
        <w:rPr>
          <w:rFonts w:ascii="Times New Roman" w:hAnsi="Times New Roman"/>
        </w:rPr>
      </w:pPr>
    </w:p>
    <w:p w14:paraId="186BF633" w14:textId="77777777" w:rsidR="00586B08" w:rsidRDefault="00586B08" w:rsidP="00E62866">
      <w:pPr>
        <w:pStyle w:val="NoSpacing"/>
        <w:jc w:val="both"/>
        <w:rPr>
          <w:rFonts w:ascii="Times New Roman" w:hAnsi="Times New Roman"/>
        </w:rPr>
      </w:pPr>
    </w:p>
    <w:p w14:paraId="3A7E3ADF" w14:textId="688D8140" w:rsidR="00272D76" w:rsidRPr="00694E0C" w:rsidRDefault="00BC4EC7" w:rsidP="00E62866">
      <w:pPr>
        <w:pStyle w:val="Caption"/>
        <w:spacing w:line="240" w:lineRule="auto"/>
        <w:rPr>
          <w:b/>
        </w:rPr>
      </w:pPr>
      <w:bookmarkStart w:id="119" w:name="_Toc455605352"/>
      <w:r>
        <w:rPr>
          <w:b/>
        </w:rPr>
        <w:lastRenderedPageBreak/>
        <w:t xml:space="preserve">Table </w:t>
      </w:r>
      <w:r w:rsidR="00694E0C" w:rsidRPr="00694E0C">
        <w:rPr>
          <w:b/>
        </w:rPr>
        <w:fldChar w:fldCharType="begin"/>
      </w:r>
      <w:r w:rsidR="00694E0C" w:rsidRPr="00694E0C">
        <w:rPr>
          <w:b/>
        </w:rPr>
        <w:instrText xml:space="preserve"> SEQ Table \* ARABIC </w:instrText>
      </w:r>
      <w:r w:rsidR="00694E0C" w:rsidRPr="00694E0C">
        <w:rPr>
          <w:b/>
        </w:rPr>
        <w:fldChar w:fldCharType="separate"/>
      </w:r>
      <w:r w:rsidR="00EF6959">
        <w:rPr>
          <w:b/>
          <w:noProof/>
        </w:rPr>
        <w:t>5</w:t>
      </w:r>
      <w:r w:rsidR="00694E0C" w:rsidRPr="00694E0C">
        <w:rPr>
          <w:b/>
        </w:rPr>
        <w:fldChar w:fldCharType="end"/>
      </w:r>
      <w:r w:rsidR="00694E0C" w:rsidRPr="00694E0C">
        <w:rPr>
          <w:b/>
        </w:rPr>
        <w:t xml:space="preserve">:  </w:t>
      </w:r>
      <w:r w:rsidR="00694E0C" w:rsidRPr="00BC4EC7">
        <w:t>Correlations</w:t>
      </w:r>
      <w:r w:rsidR="00954589" w:rsidRPr="00BC4EC7">
        <w:t xml:space="preserve"> between internal factors </w:t>
      </w:r>
      <w:proofErr w:type="gramStart"/>
      <w:r w:rsidR="00954589" w:rsidRPr="00BC4EC7">
        <w:t xml:space="preserve">and </w:t>
      </w:r>
      <w:r w:rsidR="00694E0C" w:rsidRPr="00BC4EC7">
        <w:t xml:space="preserve"> </w:t>
      </w:r>
      <w:r w:rsidR="00954589" w:rsidRPr="00BC4EC7">
        <w:t>bank</w:t>
      </w:r>
      <w:proofErr w:type="gramEnd"/>
      <w:r w:rsidR="00954589" w:rsidRPr="00BC4EC7">
        <w:t xml:space="preserve"> profitability</w:t>
      </w:r>
      <w:bookmarkEnd w:id="119"/>
      <w:r w:rsidR="00954589">
        <w:rPr>
          <w:b/>
        </w:rPr>
        <w:t xml:space="preserve"> </w:t>
      </w:r>
    </w:p>
    <w:tbl>
      <w:tblPr>
        <w:tblW w:w="8968"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4A0" w:firstRow="1" w:lastRow="0" w:firstColumn="1" w:lastColumn="0" w:noHBand="0" w:noVBand="1"/>
      </w:tblPr>
      <w:tblGrid>
        <w:gridCol w:w="3271"/>
        <w:gridCol w:w="3271"/>
        <w:gridCol w:w="2426"/>
      </w:tblGrid>
      <w:tr w:rsidR="0068577A" w14:paraId="6F86B682" w14:textId="77777777" w:rsidTr="0068577A">
        <w:trPr>
          <w:cantSplit/>
          <w:trHeight w:val="659"/>
          <w:tblHeader/>
        </w:trPr>
        <w:tc>
          <w:tcPr>
            <w:tcW w:w="3271" w:type="dxa"/>
            <w:tcBorders>
              <w:top w:val="single" w:sz="8" w:space="0" w:color="000000"/>
              <w:left w:val="nil"/>
              <w:bottom w:val="single" w:sz="8" w:space="0" w:color="000000"/>
              <w:right w:val="nil"/>
            </w:tcBorders>
            <w:shd w:val="clear" w:color="auto" w:fill="FFFFFF"/>
            <w:tcMar>
              <w:top w:w="30" w:type="dxa"/>
              <w:left w:w="30" w:type="dxa"/>
              <w:bottom w:w="30" w:type="dxa"/>
              <w:right w:w="30" w:type="dxa"/>
            </w:tcMar>
          </w:tcPr>
          <w:p w14:paraId="74E41CDE" w14:textId="77777777" w:rsidR="0068577A" w:rsidRDefault="0068577A" w:rsidP="00E62866">
            <w:pPr>
              <w:spacing w:after="160" w:line="240" w:lineRule="auto"/>
            </w:pPr>
          </w:p>
        </w:tc>
        <w:tc>
          <w:tcPr>
            <w:tcW w:w="3271" w:type="dxa"/>
            <w:tcBorders>
              <w:top w:val="single" w:sz="8" w:space="0" w:color="000000"/>
              <w:left w:val="nil"/>
              <w:bottom w:val="single" w:sz="8" w:space="0" w:color="000000"/>
              <w:right w:val="nil"/>
            </w:tcBorders>
            <w:shd w:val="clear" w:color="auto" w:fill="FFFFFF"/>
            <w:tcMar>
              <w:top w:w="30" w:type="dxa"/>
              <w:left w:w="30" w:type="dxa"/>
              <w:bottom w:w="30" w:type="dxa"/>
              <w:right w:w="30" w:type="dxa"/>
            </w:tcMar>
          </w:tcPr>
          <w:p w14:paraId="6E346B01" w14:textId="77777777" w:rsidR="0068577A" w:rsidRDefault="0068577A" w:rsidP="00E62866">
            <w:pPr>
              <w:spacing w:line="240" w:lineRule="auto"/>
            </w:pPr>
          </w:p>
        </w:tc>
        <w:tc>
          <w:tcPr>
            <w:tcW w:w="2426" w:type="dxa"/>
            <w:tcBorders>
              <w:top w:val="single" w:sz="8" w:space="0" w:color="000000"/>
              <w:left w:val="nil"/>
              <w:bottom w:val="single" w:sz="8" w:space="0" w:color="000000"/>
              <w:right w:val="nil"/>
            </w:tcBorders>
            <w:shd w:val="clear" w:color="auto" w:fill="FFFFFF"/>
            <w:tcMar>
              <w:top w:w="30" w:type="dxa"/>
              <w:left w:w="30" w:type="dxa"/>
              <w:bottom w:w="30" w:type="dxa"/>
              <w:right w:w="30" w:type="dxa"/>
            </w:tcMar>
            <w:vAlign w:val="bottom"/>
            <w:hideMark/>
          </w:tcPr>
          <w:p w14:paraId="6BF9F707" w14:textId="77777777" w:rsidR="0068577A" w:rsidRDefault="0068577A" w:rsidP="00E62866">
            <w:pPr>
              <w:spacing w:line="240" w:lineRule="auto"/>
              <w:jc w:val="center"/>
              <w:rPr>
                <w:color w:val="000000"/>
              </w:rPr>
            </w:pPr>
            <w:r>
              <w:t>Profitability</w:t>
            </w:r>
          </w:p>
        </w:tc>
      </w:tr>
      <w:tr w:rsidR="0068577A" w14:paraId="242C75DC" w14:textId="77777777" w:rsidTr="0068577A">
        <w:trPr>
          <w:cantSplit/>
          <w:trHeight w:val="690"/>
          <w:tblHeader/>
        </w:trPr>
        <w:tc>
          <w:tcPr>
            <w:tcW w:w="3271" w:type="dxa"/>
            <w:vMerge w:val="restart"/>
            <w:tcBorders>
              <w:top w:val="single" w:sz="8" w:space="0" w:color="000000"/>
              <w:left w:val="nil"/>
              <w:bottom w:val="single" w:sz="8" w:space="0" w:color="000000"/>
              <w:right w:val="nil"/>
            </w:tcBorders>
            <w:shd w:val="clear" w:color="auto" w:fill="FFFFFF"/>
            <w:tcMar>
              <w:top w:w="30" w:type="dxa"/>
              <w:left w:w="30" w:type="dxa"/>
              <w:bottom w:w="30" w:type="dxa"/>
              <w:right w:w="30" w:type="dxa"/>
            </w:tcMar>
            <w:hideMark/>
          </w:tcPr>
          <w:p w14:paraId="1E1499E1" w14:textId="77777777" w:rsidR="0068577A" w:rsidRDefault="0068577A" w:rsidP="00E62866">
            <w:pPr>
              <w:spacing w:line="240" w:lineRule="auto"/>
            </w:pPr>
            <w:r>
              <w:t>Bank size</w:t>
            </w:r>
          </w:p>
        </w:tc>
        <w:tc>
          <w:tcPr>
            <w:tcW w:w="3271" w:type="dxa"/>
            <w:tcBorders>
              <w:top w:val="single" w:sz="8" w:space="0" w:color="000000"/>
              <w:left w:val="nil"/>
              <w:bottom w:val="nil"/>
              <w:right w:val="nil"/>
            </w:tcBorders>
            <w:shd w:val="clear" w:color="auto" w:fill="FFFFFF"/>
            <w:tcMar>
              <w:top w:w="30" w:type="dxa"/>
              <w:left w:w="30" w:type="dxa"/>
              <w:bottom w:w="30" w:type="dxa"/>
              <w:right w:w="30" w:type="dxa"/>
            </w:tcMar>
            <w:hideMark/>
          </w:tcPr>
          <w:p w14:paraId="176021EF" w14:textId="77777777" w:rsidR="0068577A" w:rsidRDefault="0068577A" w:rsidP="00E62866">
            <w:pPr>
              <w:spacing w:line="240" w:lineRule="auto"/>
            </w:pPr>
            <w:r>
              <w:t>Pearson Correlation</w:t>
            </w:r>
          </w:p>
        </w:tc>
        <w:tc>
          <w:tcPr>
            <w:tcW w:w="2426" w:type="dxa"/>
            <w:tcBorders>
              <w:top w:val="single" w:sz="8" w:space="0" w:color="000000"/>
              <w:left w:val="nil"/>
              <w:bottom w:val="nil"/>
              <w:right w:val="nil"/>
            </w:tcBorders>
            <w:shd w:val="clear" w:color="auto" w:fill="FFFFFF"/>
            <w:tcMar>
              <w:top w:w="30" w:type="dxa"/>
              <w:left w:w="30" w:type="dxa"/>
              <w:bottom w:w="30" w:type="dxa"/>
              <w:right w:w="30" w:type="dxa"/>
            </w:tcMar>
            <w:vAlign w:val="center"/>
            <w:hideMark/>
          </w:tcPr>
          <w:p w14:paraId="5E029574" w14:textId="77777777" w:rsidR="0068577A" w:rsidRDefault="0068577A" w:rsidP="00E62866">
            <w:pPr>
              <w:spacing w:line="240" w:lineRule="auto"/>
              <w:jc w:val="right"/>
            </w:pPr>
            <w:r>
              <w:t>.943</w:t>
            </w:r>
            <w:r>
              <w:rPr>
                <w:vertAlign w:val="superscript"/>
              </w:rPr>
              <w:t>**</w:t>
            </w:r>
          </w:p>
        </w:tc>
      </w:tr>
      <w:tr w:rsidR="0068577A" w14:paraId="3F6C831F" w14:textId="77777777" w:rsidTr="0068577A">
        <w:trPr>
          <w:cantSplit/>
          <w:trHeight w:val="414"/>
          <w:tblHeader/>
        </w:trPr>
        <w:tc>
          <w:tcPr>
            <w:tcW w:w="3271" w:type="dxa"/>
            <w:vMerge/>
            <w:tcBorders>
              <w:top w:val="single" w:sz="8" w:space="0" w:color="000000"/>
              <w:left w:val="nil"/>
              <w:bottom w:val="single" w:sz="8" w:space="0" w:color="000000"/>
              <w:right w:val="nil"/>
            </w:tcBorders>
            <w:vAlign w:val="center"/>
            <w:hideMark/>
          </w:tcPr>
          <w:p w14:paraId="58B22FEB" w14:textId="77777777" w:rsidR="0068577A" w:rsidRDefault="0068577A" w:rsidP="00E62866">
            <w:pPr>
              <w:spacing w:line="240" w:lineRule="auto"/>
              <w:rPr>
                <w:color w:val="000000"/>
              </w:rPr>
            </w:pPr>
          </w:p>
        </w:tc>
        <w:tc>
          <w:tcPr>
            <w:tcW w:w="3271" w:type="dxa"/>
            <w:tcBorders>
              <w:top w:val="nil"/>
              <w:left w:val="nil"/>
              <w:bottom w:val="nil"/>
              <w:right w:val="nil"/>
            </w:tcBorders>
            <w:shd w:val="clear" w:color="auto" w:fill="FFFFFF"/>
            <w:tcMar>
              <w:top w:w="30" w:type="dxa"/>
              <w:left w:w="30" w:type="dxa"/>
              <w:bottom w:w="30" w:type="dxa"/>
              <w:right w:w="30" w:type="dxa"/>
            </w:tcMar>
            <w:hideMark/>
          </w:tcPr>
          <w:p w14:paraId="46E530A6" w14:textId="77777777" w:rsidR="0068577A" w:rsidRDefault="0068577A" w:rsidP="00E62866">
            <w:pPr>
              <w:spacing w:line="240" w:lineRule="auto"/>
            </w:pPr>
            <w:r>
              <w:t>Sig. (2-tailed)</w:t>
            </w:r>
          </w:p>
        </w:tc>
        <w:tc>
          <w:tcPr>
            <w:tcW w:w="2426" w:type="dxa"/>
            <w:tcBorders>
              <w:top w:val="nil"/>
              <w:left w:val="nil"/>
              <w:bottom w:val="nil"/>
              <w:right w:val="nil"/>
            </w:tcBorders>
            <w:shd w:val="clear" w:color="auto" w:fill="FFFFFF"/>
            <w:tcMar>
              <w:top w:w="30" w:type="dxa"/>
              <w:left w:w="30" w:type="dxa"/>
              <w:bottom w:w="30" w:type="dxa"/>
              <w:right w:w="30" w:type="dxa"/>
            </w:tcMar>
            <w:vAlign w:val="center"/>
            <w:hideMark/>
          </w:tcPr>
          <w:p w14:paraId="618827D2" w14:textId="77777777" w:rsidR="0068577A" w:rsidRDefault="0068577A" w:rsidP="00E62866">
            <w:pPr>
              <w:spacing w:line="240" w:lineRule="auto"/>
              <w:jc w:val="right"/>
            </w:pPr>
            <w:r>
              <w:t>.000</w:t>
            </w:r>
          </w:p>
        </w:tc>
      </w:tr>
      <w:tr w:rsidR="0068577A" w14:paraId="6D220B28" w14:textId="77777777" w:rsidTr="0068577A">
        <w:trPr>
          <w:cantSplit/>
          <w:trHeight w:val="368"/>
          <w:tblHeader/>
        </w:trPr>
        <w:tc>
          <w:tcPr>
            <w:tcW w:w="3271" w:type="dxa"/>
            <w:vMerge/>
            <w:tcBorders>
              <w:top w:val="single" w:sz="8" w:space="0" w:color="000000"/>
              <w:left w:val="nil"/>
              <w:bottom w:val="single" w:sz="8" w:space="0" w:color="000000"/>
              <w:right w:val="nil"/>
            </w:tcBorders>
            <w:vAlign w:val="center"/>
            <w:hideMark/>
          </w:tcPr>
          <w:p w14:paraId="40EF2250" w14:textId="77777777" w:rsidR="0068577A" w:rsidRDefault="0068577A" w:rsidP="00E62866">
            <w:pPr>
              <w:spacing w:line="240" w:lineRule="auto"/>
              <w:rPr>
                <w:color w:val="000000"/>
              </w:rPr>
            </w:pPr>
          </w:p>
        </w:tc>
        <w:tc>
          <w:tcPr>
            <w:tcW w:w="3271" w:type="dxa"/>
            <w:tcBorders>
              <w:top w:val="nil"/>
              <w:left w:val="nil"/>
              <w:bottom w:val="single" w:sz="8" w:space="0" w:color="000000"/>
              <w:right w:val="nil"/>
            </w:tcBorders>
            <w:shd w:val="clear" w:color="auto" w:fill="FFFFFF"/>
            <w:tcMar>
              <w:top w:w="30" w:type="dxa"/>
              <w:left w:w="30" w:type="dxa"/>
              <w:bottom w:w="30" w:type="dxa"/>
              <w:right w:w="30" w:type="dxa"/>
            </w:tcMar>
            <w:hideMark/>
          </w:tcPr>
          <w:p w14:paraId="3104400A" w14:textId="77777777" w:rsidR="0068577A" w:rsidRDefault="0068577A" w:rsidP="00E62866">
            <w:pPr>
              <w:spacing w:line="240" w:lineRule="auto"/>
            </w:pPr>
            <w:r>
              <w:t>N</w:t>
            </w:r>
          </w:p>
        </w:tc>
        <w:tc>
          <w:tcPr>
            <w:tcW w:w="2426" w:type="dxa"/>
            <w:tcBorders>
              <w:top w:val="nil"/>
              <w:left w:val="nil"/>
              <w:bottom w:val="single" w:sz="8" w:space="0" w:color="000000"/>
              <w:right w:val="nil"/>
            </w:tcBorders>
            <w:shd w:val="clear" w:color="auto" w:fill="FFFFFF"/>
            <w:tcMar>
              <w:top w:w="30" w:type="dxa"/>
              <w:left w:w="30" w:type="dxa"/>
              <w:bottom w:w="30" w:type="dxa"/>
              <w:right w:w="30" w:type="dxa"/>
            </w:tcMar>
            <w:vAlign w:val="center"/>
            <w:hideMark/>
          </w:tcPr>
          <w:p w14:paraId="0B198578" w14:textId="77777777" w:rsidR="0068577A" w:rsidRDefault="0068577A" w:rsidP="00E62866">
            <w:pPr>
              <w:spacing w:line="240" w:lineRule="auto"/>
              <w:jc w:val="right"/>
            </w:pPr>
            <w:r>
              <w:t>82</w:t>
            </w:r>
          </w:p>
        </w:tc>
      </w:tr>
      <w:tr w:rsidR="0068577A" w14:paraId="53E6F1C9" w14:textId="77777777" w:rsidTr="0068577A">
        <w:trPr>
          <w:cantSplit/>
          <w:trHeight w:val="690"/>
          <w:tblHeader/>
        </w:trPr>
        <w:tc>
          <w:tcPr>
            <w:tcW w:w="3271" w:type="dxa"/>
            <w:vMerge w:val="restart"/>
            <w:tcBorders>
              <w:top w:val="single" w:sz="8" w:space="0" w:color="000000"/>
              <w:left w:val="nil"/>
              <w:bottom w:val="single" w:sz="8" w:space="0" w:color="000000"/>
              <w:right w:val="nil"/>
            </w:tcBorders>
            <w:shd w:val="clear" w:color="auto" w:fill="FFFFFF"/>
            <w:tcMar>
              <w:top w:w="30" w:type="dxa"/>
              <w:left w:w="30" w:type="dxa"/>
              <w:bottom w:w="30" w:type="dxa"/>
              <w:right w:w="30" w:type="dxa"/>
            </w:tcMar>
            <w:hideMark/>
          </w:tcPr>
          <w:p w14:paraId="4E12F112" w14:textId="77777777" w:rsidR="0068577A" w:rsidRDefault="0068577A" w:rsidP="00E62866">
            <w:pPr>
              <w:spacing w:line="240" w:lineRule="auto"/>
            </w:pPr>
            <w:r>
              <w:t>Risk management</w:t>
            </w:r>
          </w:p>
        </w:tc>
        <w:tc>
          <w:tcPr>
            <w:tcW w:w="3271" w:type="dxa"/>
            <w:tcBorders>
              <w:top w:val="single" w:sz="8" w:space="0" w:color="000000"/>
              <w:left w:val="nil"/>
              <w:bottom w:val="nil"/>
              <w:right w:val="nil"/>
            </w:tcBorders>
            <w:shd w:val="clear" w:color="auto" w:fill="FFFFFF"/>
            <w:tcMar>
              <w:top w:w="30" w:type="dxa"/>
              <w:left w:w="30" w:type="dxa"/>
              <w:bottom w:w="30" w:type="dxa"/>
              <w:right w:w="30" w:type="dxa"/>
            </w:tcMar>
            <w:hideMark/>
          </w:tcPr>
          <w:p w14:paraId="47B71CF9" w14:textId="77777777" w:rsidR="0068577A" w:rsidRDefault="0068577A" w:rsidP="00E62866">
            <w:pPr>
              <w:spacing w:line="240" w:lineRule="auto"/>
            </w:pPr>
            <w:r>
              <w:t>Pearson Correlation</w:t>
            </w:r>
          </w:p>
        </w:tc>
        <w:tc>
          <w:tcPr>
            <w:tcW w:w="2426" w:type="dxa"/>
            <w:tcBorders>
              <w:top w:val="single" w:sz="8" w:space="0" w:color="000000"/>
              <w:left w:val="nil"/>
              <w:bottom w:val="nil"/>
              <w:right w:val="nil"/>
            </w:tcBorders>
            <w:shd w:val="clear" w:color="auto" w:fill="FFFFFF"/>
            <w:tcMar>
              <w:top w:w="30" w:type="dxa"/>
              <w:left w:w="30" w:type="dxa"/>
              <w:bottom w:w="30" w:type="dxa"/>
              <w:right w:w="30" w:type="dxa"/>
            </w:tcMar>
            <w:vAlign w:val="center"/>
            <w:hideMark/>
          </w:tcPr>
          <w:p w14:paraId="56DF69B4" w14:textId="77777777" w:rsidR="0068577A" w:rsidRDefault="0068577A" w:rsidP="00E62866">
            <w:pPr>
              <w:spacing w:line="240" w:lineRule="auto"/>
              <w:jc w:val="right"/>
            </w:pPr>
            <w:r>
              <w:t>.867</w:t>
            </w:r>
            <w:r>
              <w:rPr>
                <w:vertAlign w:val="superscript"/>
              </w:rPr>
              <w:t>**</w:t>
            </w:r>
          </w:p>
        </w:tc>
      </w:tr>
      <w:tr w:rsidR="0068577A" w14:paraId="009C5A23" w14:textId="77777777" w:rsidTr="0068577A">
        <w:trPr>
          <w:cantSplit/>
          <w:trHeight w:val="414"/>
          <w:tblHeader/>
        </w:trPr>
        <w:tc>
          <w:tcPr>
            <w:tcW w:w="3271" w:type="dxa"/>
            <w:vMerge/>
            <w:tcBorders>
              <w:top w:val="single" w:sz="8" w:space="0" w:color="000000"/>
              <w:left w:val="nil"/>
              <w:bottom w:val="single" w:sz="8" w:space="0" w:color="000000"/>
              <w:right w:val="nil"/>
            </w:tcBorders>
            <w:vAlign w:val="center"/>
            <w:hideMark/>
          </w:tcPr>
          <w:p w14:paraId="5DD68C3A" w14:textId="77777777" w:rsidR="0068577A" w:rsidRDefault="0068577A" w:rsidP="00E62866">
            <w:pPr>
              <w:spacing w:line="240" w:lineRule="auto"/>
              <w:rPr>
                <w:color w:val="000000"/>
              </w:rPr>
            </w:pPr>
          </w:p>
        </w:tc>
        <w:tc>
          <w:tcPr>
            <w:tcW w:w="3271" w:type="dxa"/>
            <w:tcBorders>
              <w:top w:val="nil"/>
              <w:left w:val="nil"/>
              <w:bottom w:val="nil"/>
              <w:right w:val="nil"/>
            </w:tcBorders>
            <w:shd w:val="clear" w:color="auto" w:fill="FFFFFF"/>
            <w:tcMar>
              <w:top w:w="30" w:type="dxa"/>
              <w:left w:w="30" w:type="dxa"/>
              <w:bottom w:w="30" w:type="dxa"/>
              <w:right w:w="30" w:type="dxa"/>
            </w:tcMar>
            <w:hideMark/>
          </w:tcPr>
          <w:p w14:paraId="0ACE6F9B" w14:textId="77777777" w:rsidR="0068577A" w:rsidRDefault="0068577A" w:rsidP="00E62866">
            <w:pPr>
              <w:spacing w:line="240" w:lineRule="auto"/>
            </w:pPr>
            <w:r>
              <w:t>Sig. (2-tailed)</w:t>
            </w:r>
          </w:p>
        </w:tc>
        <w:tc>
          <w:tcPr>
            <w:tcW w:w="2426" w:type="dxa"/>
            <w:tcBorders>
              <w:top w:val="nil"/>
              <w:left w:val="nil"/>
              <w:bottom w:val="nil"/>
              <w:right w:val="nil"/>
            </w:tcBorders>
            <w:shd w:val="clear" w:color="auto" w:fill="FFFFFF"/>
            <w:tcMar>
              <w:top w:w="30" w:type="dxa"/>
              <w:left w:w="30" w:type="dxa"/>
              <w:bottom w:w="30" w:type="dxa"/>
              <w:right w:w="30" w:type="dxa"/>
            </w:tcMar>
            <w:vAlign w:val="center"/>
            <w:hideMark/>
          </w:tcPr>
          <w:p w14:paraId="2C9C3B51" w14:textId="77777777" w:rsidR="0068577A" w:rsidRDefault="0068577A" w:rsidP="00E62866">
            <w:pPr>
              <w:spacing w:line="240" w:lineRule="auto"/>
              <w:jc w:val="right"/>
            </w:pPr>
            <w:r>
              <w:t>.000</w:t>
            </w:r>
          </w:p>
        </w:tc>
      </w:tr>
      <w:tr w:rsidR="0068577A" w14:paraId="57C5B310" w14:textId="77777777" w:rsidTr="0068577A">
        <w:trPr>
          <w:cantSplit/>
          <w:trHeight w:val="383"/>
          <w:tblHeader/>
        </w:trPr>
        <w:tc>
          <w:tcPr>
            <w:tcW w:w="3271" w:type="dxa"/>
            <w:vMerge/>
            <w:tcBorders>
              <w:top w:val="single" w:sz="8" w:space="0" w:color="000000"/>
              <w:left w:val="nil"/>
              <w:bottom w:val="single" w:sz="8" w:space="0" w:color="000000"/>
              <w:right w:val="nil"/>
            </w:tcBorders>
            <w:vAlign w:val="center"/>
            <w:hideMark/>
          </w:tcPr>
          <w:p w14:paraId="093A9DAD" w14:textId="77777777" w:rsidR="0068577A" w:rsidRDefault="0068577A" w:rsidP="00E62866">
            <w:pPr>
              <w:spacing w:line="240" w:lineRule="auto"/>
              <w:rPr>
                <w:color w:val="000000"/>
              </w:rPr>
            </w:pPr>
          </w:p>
        </w:tc>
        <w:tc>
          <w:tcPr>
            <w:tcW w:w="3271" w:type="dxa"/>
            <w:tcBorders>
              <w:top w:val="nil"/>
              <w:left w:val="nil"/>
              <w:bottom w:val="single" w:sz="8" w:space="0" w:color="000000"/>
              <w:right w:val="nil"/>
            </w:tcBorders>
            <w:shd w:val="clear" w:color="auto" w:fill="FFFFFF"/>
            <w:tcMar>
              <w:top w:w="30" w:type="dxa"/>
              <w:left w:w="30" w:type="dxa"/>
              <w:bottom w:w="30" w:type="dxa"/>
              <w:right w:w="30" w:type="dxa"/>
            </w:tcMar>
            <w:hideMark/>
          </w:tcPr>
          <w:p w14:paraId="28BFA8BA" w14:textId="77777777" w:rsidR="0068577A" w:rsidRDefault="0068577A" w:rsidP="00E62866">
            <w:pPr>
              <w:spacing w:line="240" w:lineRule="auto"/>
            </w:pPr>
            <w:r>
              <w:t>N</w:t>
            </w:r>
          </w:p>
        </w:tc>
        <w:tc>
          <w:tcPr>
            <w:tcW w:w="2426" w:type="dxa"/>
            <w:tcBorders>
              <w:top w:val="nil"/>
              <w:left w:val="nil"/>
              <w:bottom w:val="single" w:sz="8" w:space="0" w:color="000000"/>
              <w:right w:val="nil"/>
            </w:tcBorders>
            <w:shd w:val="clear" w:color="auto" w:fill="FFFFFF"/>
            <w:tcMar>
              <w:top w:w="30" w:type="dxa"/>
              <w:left w:w="30" w:type="dxa"/>
              <w:bottom w:w="30" w:type="dxa"/>
              <w:right w:w="30" w:type="dxa"/>
            </w:tcMar>
            <w:vAlign w:val="center"/>
            <w:hideMark/>
          </w:tcPr>
          <w:p w14:paraId="5BB8B35C" w14:textId="77777777" w:rsidR="0068577A" w:rsidRDefault="0068577A" w:rsidP="00E62866">
            <w:pPr>
              <w:spacing w:line="240" w:lineRule="auto"/>
              <w:jc w:val="right"/>
            </w:pPr>
            <w:r>
              <w:t>82</w:t>
            </w:r>
          </w:p>
        </w:tc>
      </w:tr>
      <w:tr w:rsidR="0068577A" w14:paraId="4E8E465B" w14:textId="77777777" w:rsidTr="0068577A">
        <w:trPr>
          <w:cantSplit/>
          <w:trHeight w:val="690"/>
          <w:tblHeader/>
        </w:trPr>
        <w:tc>
          <w:tcPr>
            <w:tcW w:w="3271" w:type="dxa"/>
            <w:vMerge w:val="restart"/>
            <w:tcBorders>
              <w:top w:val="single" w:sz="8" w:space="0" w:color="000000"/>
              <w:left w:val="nil"/>
              <w:bottom w:val="single" w:sz="8" w:space="0" w:color="000000"/>
              <w:right w:val="nil"/>
            </w:tcBorders>
            <w:shd w:val="clear" w:color="auto" w:fill="FFFFFF"/>
            <w:tcMar>
              <w:top w:w="30" w:type="dxa"/>
              <w:left w:w="30" w:type="dxa"/>
              <w:bottom w:w="30" w:type="dxa"/>
              <w:right w:w="30" w:type="dxa"/>
            </w:tcMar>
            <w:hideMark/>
          </w:tcPr>
          <w:p w14:paraId="56735EDA" w14:textId="77777777" w:rsidR="0068577A" w:rsidRDefault="0068577A" w:rsidP="00E62866">
            <w:pPr>
              <w:spacing w:line="240" w:lineRule="auto"/>
            </w:pPr>
            <w:r>
              <w:t xml:space="preserve">Ownership </w:t>
            </w:r>
          </w:p>
        </w:tc>
        <w:tc>
          <w:tcPr>
            <w:tcW w:w="3271" w:type="dxa"/>
            <w:tcBorders>
              <w:top w:val="single" w:sz="8" w:space="0" w:color="000000"/>
              <w:left w:val="nil"/>
              <w:bottom w:val="nil"/>
              <w:right w:val="nil"/>
            </w:tcBorders>
            <w:shd w:val="clear" w:color="auto" w:fill="FFFFFF"/>
            <w:tcMar>
              <w:top w:w="30" w:type="dxa"/>
              <w:left w:w="30" w:type="dxa"/>
              <w:bottom w:w="30" w:type="dxa"/>
              <w:right w:w="30" w:type="dxa"/>
            </w:tcMar>
            <w:hideMark/>
          </w:tcPr>
          <w:p w14:paraId="230ABC92" w14:textId="77777777" w:rsidR="0068577A" w:rsidRDefault="0068577A" w:rsidP="00E62866">
            <w:pPr>
              <w:spacing w:line="240" w:lineRule="auto"/>
            </w:pPr>
            <w:r>
              <w:t>Pearson Correlation</w:t>
            </w:r>
          </w:p>
        </w:tc>
        <w:tc>
          <w:tcPr>
            <w:tcW w:w="2426" w:type="dxa"/>
            <w:tcBorders>
              <w:top w:val="single" w:sz="8" w:space="0" w:color="000000"/>
              <w:left w:val="nil"/>
              <w:bottom w:val="nil"/>
              <w:right w:val="nil"/>
            </w:tcBorders>
            <w:shd w:val="clear" w:color="auto" w:fill="FFFFFF"/>
            <w:tcMar>
              <w:top w:w="30" w:type="dxa"/>
              <w:left w:w="30" w:type="dxa"/>
              <w:bottom w:w="30" w:type="dxa"/>
              <w:right w:w="30" w:type="dxa"/>
            </w:tcMar>
            <w:vAlign w:val="center"/>
            <w:hideMark/>
          </w:tcPr>
          <w:p w14:paraId="6DF0EBAD" w14:textId="77777777" w:rsidR="0068577A" w:rsidRDefault="0068577A" w:rsidP="00E62866">
            <w:pPr>
              <w:spacing w:line="240" w:lineRule="auto"/>
              <w:jc w:val="right"/>
            </w:pPr>
            <w:r>
              <w:t>.913</w:t>
            </w:r>
            <w:r>
              <w:rPr>
                <w:vertAlign w:val="superscript"/>
              </w:rPr>
              <w:t>**</w:t>
            </w:r>
          </w:p>
        </w:tc>
      </w:tr>
      <w:tr w:rsidR="0068577A" w14:paraId="4EC60078" w14:textId="77777777" w:rsidTr="0068577A">
        <w:trPr>
          <w:cantSplit/>
          <w:trHeight w:val="399"/>
          <w:tblHeader/>
        </w:trPr>
        <w:tc>
          <w:tcPr>
            <w:tcW w:w="3271" w:type="dxa"/>
            <w:vMerge/>
            <w:tcBorders>
              <w:top w:val="single" w:sz="8" w:space="0" w:color="000000"/>
              <w:left w:val="nil"/>
              <w:bottom w:val="single" w:sz="8" w:space="0" w:color="000000"/>
              <w:right w:val="nil"/>
            </w:tcBorders>
            <w:vAlign w:val="center"/>
            <w:hideMark/>
          </w:tcPr>
          <w:p w14:paraId="432DEA4C" w14:textId="77777777" w:rsidR="0068577A" w:rsidRDefault="0068577A" w:rsidP="00E62866">
            <w:pPr>
              <w:spacing w:line="240" w:lineRule="auto"/>
              <w:rPr>
                <w:color w:val="000000"/>
              </w:rPr>
            </w:pPr>
          </w:p>
        </w:tc>
        <w:tc>
          <w:tcPr>
            <w:tcW w:w="3271" w:type="dxa"/>
            <w:tcBorders>
              <w:top w:val="nil"/>
              <w:left w:val="nil"/>
              <w:bottom w:val="nil"/>
              <w:right w:val="nil"/>
            </w:tcBorders>
            <w:shd w:val="clear" w:color="auto" w:fill="FFFFFF"/>
            <w:tcMar>
              <w:top w:w="30" w:type="dxa"/>
              <w:left w:w="30" w:type="dxa"/>
              <w:bottom w:w="30" w:type="dxa"/>
              <w:right w:w="30" w:type="dxa"/>
            </w:tcMar>
            <w:hideMark/>
          </w:tcPr>
          <w:p w14:paraId="53824C43" w14:textId="77777777" w:rsidR="0068577A" w:rsidRDefault="0068577A" w:rsidP="00E62866">
            <w:pPr>
              <w:spacing w:line="240" w:lineRule="auto"/>
            </w:pPr>
            <w:r>
              <w:t>Sig. (2-tailed)</w:t>
            </w:r>
          </w:p>
        </w:tc>
        <w:tc>
          <w:tcPr>
            <w:tcW w:w="2426" w:type="dxa"/>
            <w:tcBorders>
              <w:top w:val="nil"/>
              <w:left w:val="nil"/>
              <w:bottom w:val="nil"/>
              <w:right w:val="nil"/>
            </w:tcBorders>
            <w:shd w:val="clear" w:color="auto" w:fill="FFFFFF"/>
            <w:tcMar>
              <w:top w:w="30" w:type="dxa"/>
              <w:left w:w="30" w:type="dxa"/>
              <w:bottom w:w="30" w:type="dxa"/>
              <w:right w:w="30" w:type="dxa"/>
            </w:tcMar>
            <w:vAlign w:val="center"/>
            <w:hideMark/>
          </w:tcPr>
          <w:p w14:paraId="48B47A56" w14:textId="77777777" w:rsidR="0068577A" w:rsidRDefault="0068577A" w:rsidP="00E62866">
            <w:pPr>
              <w:spacing w:line="240" w:lineRule="auto"/>
              <w:jc w:val="right"/>
            </w:pPr>
            <w:r>
              <w:t>.000</w:t>
            </w:r>
          </w:p>
        </w:tc>
      </w:tr>
      <w:tr w:rsidR="0068577A" w14:paraId="78B404E3" w14:textId="77777777" w:rsidTr="0068577A">
        <w:trPr>
          <w:cantSplit/>
          <w:trHeight w:val="383"/>
          <w:tblHeader/>
        </w:trPr>
        <w:tc>
          <w:tcPr>
            <w:tcW w:w="3271" w:type="dxa"/>
            <w:vMerge/>
            <w:tcBorders>
              <w:top w:val="single" w:sz="8" w:space="0" w:color="000000"/>
              <w:left w:val="nil"/>
              <w:bottom w:val="single" w:sz="8" w:space="0" w:color="000000"/>
              <w:right w:val="nil"/>
            </w:tcBorders>
            <w:vAlign w:val="center"/>
            <w:hideMark/>
          </w:tcPr>
          <w:p w14:paraId="1D0CE386" w14:textId="77777777" w:rsidR="0068577A" w:rsidRDefault="0068577A" w:rsidP="00E62866">
            <w:pPr>
              <w:spacing w:line="240" w:lineRule="auto"/>
              <w:rPr>
                <w:color w:val="000000"/>
              </w:rPr>
            </w:pPr>
          </w:p>
        </w:tc>
        <w:tc>
          <w:tcPr>
            <w:tcW w:w="3271" w:type="dxa"/>
            <w:tcBorders>
              <w:top w:val="nil"/>
              <w:left w:val="nil"/>
              <w:bottom w:val="single" w:sz="8" w:space="0" w:color="000000"/>
              <w:right w:val="nil"/>
            </w:tcBorders>
            <w:shd w:val="clear" w:color="auto" w:fill="FFFFFF"/>
            <w:tcMar>
              <w:top w:w="30" w:type="dxa"/>
              <w:left w:w="30" w:type="dxa"/>
              <w:bottom w:w="30" w:type="dxa"/>
              <w:right w:w="30" w:type="dxa"/>
            </w:tcMar>
            <w:hideMark/>
          </w:tcPr>
          <w:p w14:paraId="12813CB0" w14:textId="77777777" w:rsidR="0068577A" w:rsidRDefault="0068577A" w:rsidP="00E62866">
            <w:pPr>
              <w:spacing w:line="240" w:lineRule="auto"/>
            </w:pPr>
            <w:r>
              <w:t>N</w:t>
            </w:r>
          </w:p>
        </w:tc>
        <w:tc>
          <w:tcPr>
            <w:tcW w:w="2426" w:type="dxa"/>
            <w:tcBorders>
              <w:top w:val="nil"/>
              <w:left w:val="nil"/>
              <w:bottom w:val="single" w:sz="8" w:space="0" w:color="000000"/>
              <w:right w:val="nil"/>
            </w:tcBorders>
            <w:shd w:val="clear" w:color="auto" w:fill="FFFFFF"/>
            <w:tcMar>
              <w:top w:w="30" w:type="dxa"/>
              <w:left w:w="30" w:type="dxa"/>
              <w:bottom w:w="30" w:type="dxa"/>
              <w:right w:w="30" w:type="dxa"/>
            </w:tcMar>
            <w:vAlign w:val="center"/>
            <w:hideMark/>
          </w:tcPr>
          <w:p w14:paraId="0301D77A" w14:textId="77777777" w:rsidR="0068577A" w:rsidRDefault="0068577A" w:rsidP="00E62866">
            <w:pPr>
              <w:spacing w:line="240" w:lineRule="auto"/>
              <w:jc w:val="right"/>
            </w:pPr>
            <w:r>
              <w:t>82</w:t>
            </w:r>
          </w:p>
        </w:tc>
      </w:tr>
      <w:tr w:rsidR="0068577A" w14:paraId="0E4EEA7E" w14:textId="77777777" w:rsidTr="0068577A">
        <w:trPr>
          <w:cantSplit/>
          <w:trHeight w:val="690"/>
          <w:tblHeader/>
        </w:trPr>
        <w:tc>
          <w:tcPr>
            <w:tcW w:w="3271" w:type="dxa"/>
            <w:vMerge w:val="restart"/>
            <w:tcBorders>
              <w:top w:val="single" w:sz="8" w:space="0" w:color="000000"/>
              <w:left w:val="nil"/>
              <w:bottom w:val="single" w:sz="8" w:space="0" w:color="000000"/>
              <w:right w:val="nil"/>
            </w:tcBorders>
            <w:shd w:val="clear" w:color="auto" w:fill="FFFFFF"/>
            <w:tcMar>
              <w:top w:w="30" w:type="dxa"/>
              <w:left w:w="30" w:type="dxa"/>
              <w:bottom w:w="30" w:type="dxa"/>
              <w:right w:w="30" w:type="dxa"/>
            </w:tcMar>
            <w:hideMark/>
          </w:tcPr>
          <w:p w14:paraId="2D2C60B2" w14:textId="77777777" w:rsidR="0068577A" w:rsidRDefault="0068577A" w:rsidP="00E62866">
            <w:pPr>
              <w:spacing w:line="240" w:lineRule="auto"/>
            </w:pPr>
            <w:r>
              <w:t>Loan management</w:t>
            </w:r>
          </w:p>
        </w:tc>
        <w:tc>
          <w:tcPr>
            <w:tcW w:w="3271" w:type="dxa"/>
            <w:tcBorders>
              <w:top w:val="single" w:sz="8" w:space="0" w:color="000000"/>
              <w:left w:val="nil"/>
              <w:bottom w:val="nil"/>
              <w:right w:val="nil"/>
            </w:tcBorders>
            <w:shd w:val="clear" w:color="auto" w:fill="FFFFFF"/>
            <w:tcMar>
              <w:top w:w="30" w:type="dxa"/>
              <w:left w:w="30" w:type="dxa"/>
              <w:bottom w:w="30" w:type="dxa"/>
              <w:right w:w="30" w:type="dxa"/>
            </w:tcMar>
            <w:hideMark/>
          </w:tcPr>
          <w:p w14:paraId="1A864A2F" w14:textId="77777777" w:rsidR="0068577A" w:rsidRDefault="0068577A" w:rsidP="00E62866">
            <w:pPr>
              <w:spacing w:line="240" w:lineRule="auto"/>
            </w:pPr>
            <w:r>
              <w:t>Pearson Correlation</w:t>
            </w:r>
          </w:p>
        </w:tc>
        <w:tc>
          <w:tcPr>
            <w:tcW w:w="2426" w:type="dxa"/>
            <w:tcBorders>
              <w:top w:val="single" w:sz="8" w:space="0" w:color="000000"/>
              <w:left w:val="nil"/>
              <w:bottom w:val="nil"/>
              <w:right w:val="nil"/>
            </w:tcBorders>
            <w:shd w:val="clear" w:color="auto" w:fill="FFFFFF"/>
            <w:tcMar>
              <w:top w:w="30" w:type="dxa"/>
              <w:left w:w="30" w:type="dxa"/>
              <w:bottom w:w="30" w:type="dxa"/>
              <w:right w:w="30" w:type="dxa"/>
            </w:tcMar>
            <w:vAlign w:val="center"/>
            <w:hideMark/>
          </w:tcPr>
          <w:p w14:paraId="2CD8A56C" w14:textId="77777777" w:rsidR="0068577A" w:rsidRDefault="0068577A" w:rsidP="00E62866">
            <w:pPr>
              <w:spacing w:line="240" w:lineRule="auto"/>
              <w:jc w:val="right"/>
            </w:pPr>
            <w:r>
              <w:t>.952</w:t>
            </w:r>
            <w:r>
              <w:rPr>
                <w:vertAlign w:val="superscript"/>
              </w:rPr>
              <w:t>**</w:t>
            </w:r>
          </w:p>
        </w:tc>
      </w:tr>
      <w:tr w:rsidR="0068577A" w14:paraId="469D2075" w14:textId="77777777" w:rsidTr="0068577A">
        <w:trPr>
          <w:cantSplit/>
          <w:trHeight w:val="414"/>
          <w:tblHeader/>
        </w:trPr>
        <w:tc>
          <w:tcPr>
            <w:tcW w:w="3271" w:type="dxa"/>
            <w:vMerge/>
            <w:tcBorders>
              <w:top w:val="single" w:sz="8" w:space="0" w:color="000000"/>
              <w:left w:val="nil"/>
              <w:bottom w:val="single" w:sz="8" w:space="0" w:color="000000"/>
              <w:right w:val="nil"/>
            </w:tcBorders>
            <w:vAlign w:val="center"/>
            <w:hideMark/>
          </w:tcPr>
          <w:p w14:paraId="0486977A" w14:textId="77777777" w:rsidR="0068577A" w:rsidRDefault="0068577A" w:rsidP="00E62866">
            <w:pPr>
              <w:spacing w:line="240" w:lineRule="auto"/>
              <w:rPr>
                <w:color w:val="000000"/>
              </w:rPr>
            </w:pPr>
          </w:p>
        </w:tc>
        <w:tc>
          <w:tcPr>
            <w:tcW w:w="3271" w:type="dxa"/>
            <w:tcBorders>
              <w:top w:val="nil"/>
              <w:left w:val="nil"/>
              <w:bottom w:val="nil"/>
              <w:right w:val="nil"/>
            </w:tcBorders>
            <w:shd w:val="clear" w:color="auto" w:fill="FFFFFF"/>
            <w:tcMar>
              <w:top w:w="30" w:type="dxa"/>
              <w:left w:w="30" w:type="dxa"/>
              <w:bottom w:w="30" w:type="dxa"/>
              <w:right w:w="30" w:type="dxa"/>
            </w:tcMar>
            <w:hideMark/>
          </w:tcPr>
          <w:p w14:paraId="3A6DE389" w14:textId="77777777" w:rsidR="0068577A" w:rsidRDefault="0068577A" w:rsidP="00E62866">
            <w:pPr>
              <w:spacing w:line="240" w:lineRule="auto"/>
            </w:pPr>
            <w:r>
              <w:t>Sig. (2-tailed)</w:t>
            </w:r>
          </w:p>
        </w:tc>
        <w:tc>
          <w:tcPr>
            <w:tcW w:w="2426" w:type="dxa"/>
            <w:tcBorders>
              <w:top w:val="nil"/>
              <w:left w:val="nil"/>
              <w:bottom w:val="nil"/>
              <w:right w:val="nil"/>
            </w:tcBorders>
            <w:shd w:val="clear" w:color="auto" w:fill="FFFFFF"/>
            <w:tcMar>
              <w:top w:w="30" w:type="dxa"/>
              <w:left w:w="30" w:type="dxa"/>
              <w:bottom w:w="30" w:type="dxa"/>
              <w:right w:w="30" w:type="dxa"/>
            </w:tcMar>
            <w:vAlign w:val="center"/>
            <w:hideMark/>
          </w:tcPr>
          <w:p w14:paraId="24BECBCC" w14:textId="77777777" w:rsidR="0068577A" w:rsidRDefault="0068577A" w:rsidP="00E62866">
            <w:pPr>
              <w:spacing w:line="240" w:lineRule="auto"/>
              <w:jc w:val="right"/>
            </w:pPr>
            <w:r>
              <w:t>.000</w:t>
            </w:r>
          </w:p>
        </w:tc>
      </w:tr>
      <w:tr w:rsidR="0068577A" w14:paraId="02D65C6E" w14:textId="77777777" w:rsidTr="0068577A">
        <w:trPr>
          <w:cantSplit/>
          <w:trHeight w:val="383"/>
          <w:tblHeader/>
        </w:trPr>
        <w:tc>
          <w:tcPr>
            <w:tcW w:w="3271" w:type="dxa"/>
            <w:vMerge/>
            <w:tcBorders>
              <w:top w:val="single" w:sz="8" w:space="0" w:color="000000"/>
              <w:left w:val="nil"/>
              <w:bottom w:val="single" w:sz="8" w:space="0" w:color="000000"/>
              <w:right w:val="nil"/>
            </w:tcBorders>
            <w:vAlign w:val="center"/>
            <w:hideMark/>
          </w:tcPr>
          <w:p w14:paraId="14F3100F" w14:textId="77777777" w:rsidR="0068577A" w:rsidRDefault="0068577A" w:rsidP="00E62866">
            <w:pPr>
              <w:spacing w:line="240" w:lineRule="auto"/>
              <w:rPr>
                <w:color w:val="000000"/>
              </w:rPr>
            </w:pPr>
          </w:p>
        </w:tc>
        <w:tc>
          <w:tcPr>
            <w:tcW w:w="3271" w:type="dxa"/>
            <w:tcBorders>
              <w:top w:val="nil"/>
              <w:left w:val="nil"/>
              <w:bottom w:val="single" w:sz="8" w:space="0" w:color="000000"/>
              <w:right w:val="nil"/>
            </w:tcBorders>
            <w:shd w:val="clear" w:color="auto" w:fill="FFFFFF"/>
            <w:tcMar>
              <w:top w:w="30" w:type="dxa"/>
              <w:left w:w="30" w:type="dxa"/>
              <w:bottom w:w="30" w:type="dxa"/>
              <w:right w:w="30" w:type="dxa"/>
            </w:tcMar>
            <w:hideMark/>
          </w:tcPr>
          <w:p w14:paraId="4BBBC3F9" w14:textId="77777777" w:rsidR="0068577A" w:rsidRDefault="0068577A" w:rsidP="00E62866">
            <w:pPr>
              <w:spacing w:line="240" w:lineRule="auto"/>
            </w:pPr>
            <w:r>
              <w:t>N</w:t>
            </w:r>
          </w:p>
        </w:tc>
        <w:tc>
          <w:tcPr>
            <w:tcW w:w="2426" w:type="dxa"/>
            <w:tcBorders>
              <w:top w:val="nil"/>
              <w:left w:val="nil"/>
              <w:bottom w:val="single" w:sz="8" w:space="0" w:color="000000"/>
              <w:right w:val="nil"/>
            </w:tcBorders>
            <w:shd w:val="clear" w:color="auto" w:fill="FFFFFF"/>
            <w:tcMar>
              <w:top w:w="30" w:type="dxa"/>
              <w:left w:w="30" w:type="dxa"/>
              <w:bottom w:w="30" w:type="dxa"/>
              <w:right w:w="30" w:type="dxa"/>
            </w:tcMar>
            <w:vAlign w:val="center"/>
            <w:hideMark/>
          </w:tcPr>
          <w:p w14:paraId="7D5A0DF5" w14:textId="77777777" w:rsidR="0068577A" w:rsidRDefault="0068577A" w:rsidP="00E62866">
            <w:pPr>
              <w:spacing w:line="240" w:lineRule="auto"/>
              <w:jc w:val="right"/>
            </w:pPr>
            <w:r>
              <w:t>82</w:t>
            </w:r>
          </w:p>
        </w:tc>
      </w:tr>
    </w:tbl>
    <w:p w14:paraId="3B300FD2" w14:textId="00538287" w:rsidR="00272D76" w:rsidRPr="00C622E8" w:rsidRDefault="00694E0C" w:rsidP="00E62866">
      <w:pPr>
        <w:spacing w:line="240" w:lineRule="auto"/>
        <w:jc w:val="center"/>
        <w:rPr>
          <w:b/>
        </w:rPr>
      </w:pPr>
      <w:r w:rsidRPr="00016C50">
        <w:rPr>
          <w:b/>
        </w:rPr>
        <w:t>Source: Researcher</w:t>
      </w:r>
      <w:r w:rsidR="00C622E8">
        <w:rPr>
          <w:b/>
        </w:rPr>
        <w:t>, 2016</w:t>
      </w:r>
    </w:p>
    <w:p w14:paraId="478657DF" w14:textId="16E707ED" w:rsidR="002A055D" w:rsidRDefault="00BC4EC7" w:rsidP="00E62866">
      <w:pPr>
        <w:spacing w:line="240" w:lineRule="auto"/>
        <w:jc w:val="both"/>
      </w:pPr>
      <w:r>
        <w:t>Table 5</w:t>
      </w:r>
      <w:r w:rsidR="00694E0C" w:rsidRPr="002A055D">
        <w:t xml:space="preserve"> indicates correlations between </w:t>
      </w:r>
      <w:r w:rsidR="00694E0C">
        <w:t>bank size</w:t>
      </w:r>
      <w:r w:rsidR="00694E0C" w:rsidRPr="002A055D">
        <w:t xml:space="preserve">, commodity price, </w:t>
      </w:r>
      <w:r w:rsidR="00694E0C">
        <w:t>risk management</w:t>
      </w:r>
      <w:r w:rsidR="00694E0C" w:rsidRPr="002A055D">
        <w:t xml:space="preserve">, </w:t>
      </w:r>
      <w:r w:rsidR="00694E0C">
        <w:t>and ownership</w:t>
      </w:r>
      <w:r w:rsidR="00694E0C" w:rsidRPr="002A055D">
        <w:rPr>
          <w:noProof/>
        </w:rPr>
        <w:t xml:space="preserve">. The study indicates that , </w:t>
      </w:r>
      <w:r w:rsidR="00694E0C">
        <w:t>bank size</w:t>
      </w:r>
      <w:r w:rsidR="00694E0C" w:rsidRPr="002A055D">
        <w:t xml:space="preserve"> correlates to profitability of Bank of Kigali on the rate of</w:t>
      </w:r>
      <w:r w:rsidR="00694E0C">
        <w:t xml:space="preserve"> 94.3</w:t>
      </w:r>
      <w:r w:rsidR="00694E0C" w:rsidRPr="002A055D">
        <w:t xml:space="preserve">%, </w:t>
      </w:r>
      <w:r w:rsidR="00694E0C">
        <w:t>risk management</w:t>
      </w:r>
      <w:r w:rsidR="00694E0C" w:rsidRPr="002A055D">
        <w:t xml:space="preserve"> correlates to profitability of Bank of Kigali on the rate of </w:t>
      </w:r>
      <w:r w:rsidR="00694E0C">
        <w:t>86.7</w:t>
      </w:r>
      <w:r w:rsidR="00694E0C" w:rsidRPr="002A055D">
        <w:t xml:space="preserve">%, </w:t>
      </w:r>
      <w:r w:rsidR="00694E0C">
        <w:t>and ownership</w:t>
      </w:r>
      <w:r w:rsidR="00694E0C" w:rsidRPr="002A055D">
        <w:t xml:space="preserve"> correlates to profitability of Bank of Kigali on the rate of</w:t>
      </w:r>
      <w:r w:rsidR="00694E0C">
        <w:t xml:space="preserve"> 91.3</w:t>
      </w:r>
      <w:r w:rsidR="00694E0C" w:rsidRPr="002A055D">
        <w:t>%</w:t>
      </w:r>
      <w:r w:rsidR="00694E0C">
        <w:t>.</w:t>
      </w:r>
      <w:r w:rsidR="0068577A">
        <w:t xml:space="preserve"> The study also indicated that loan management affect the profitability of commercial bank on the rate of 95.2%.</w:t>
      </w:r>
      <w:r w:rsidR="00694E0C">
        <w:t xml:space="preserve"> </w:t>
      </w:r>
      <w:r w:rsidR="00694E0C" w:rsidRPr="00AA2E9C">
        <w:t>In most studies of bank profitability determinants</w:t>
      </w:r>
      <w:r w:rsidR="00694E0C">
        <w:t xml:space="preserve"> as indicated in empirical literature</w:t>
      </w:r>
      <w:r w:rsidR="00694E0C" w:rsidRPr="00AA2E9C">
        <w:t xml:space="preserve">, the total asset is used a measure for bank size. Bank size is usually used to account for potential economies or diseconomies of scale in the banking sector. </w:t>
      </w:r>
    </w:p>
    <w:p w14:paraId="7DE34C73" w14:textId="77777777" w:rsidR="00AA6EF5" w:rsidRDefault="00AA6EF5" w:rsidP="00E62866">
      <w:pPr>
        <w:spacing w:line="240" w:lineRule="auto"/>
        <w:jc w:val="both"/>
      </w:pPr>
    </w:p>
    <w:p w14:paraId="13F8C819" w14:textId="77777777" w:rsidR="00AA6EF5" w:rsidRDefault="00AA6EF5" w:rsidP="00E62866">
      <w:pPr>
        <w:spacing w:line="240" w:lineRule="auto"/>
        <w:jc w:val="both"/>
      </w:pPr>
    </w:p>
    <w:p w14:paraId="5A0B3B20" w14:textId="77777777" w:rsidR="003F2F5F" w:rsidRDefault="003F2F5F" w:rsidP="00E62866">
      <w:pPr>
        <w:spacing w:line="240" w:lineRule="auto"/>
        <w:jc w:val="both"/>
      </w:pPr>
    </w:p>
    <w:p w14:paraId="4BAE8736" w14:textId="00D0B2C9" w:rsidR="00954589" w:rsidRPr="0095337E" w:rsidRDefault="00954589" w:rsidP="00E62866">
      <w:pPr>
        <w:pStyle w:val="Caption"/>
        <w:spacing w:line="240" w:lineRule="auto"/>
        <w:rPr>
          <w:b/>
        </w:rPr>
      </w:pPr>
      <w:bookmarkStart w:id="120" w:name="_Toc455605353"/>
      <w:r w:rsidRPr="0095337E">
        <w:rPr>
          <w:b/>
        </w:rPr>
        <w:lastRenderedPageBreak/>
        <w:t xml:space="preserve">Table </w:t>
      </w:r>
      <w:r w:rsidRPr="0095337E">
        <w:rPr>
          <w:b/>
        </w:rPr>
        <w:fldChar w:fldCharType="begin"/>
      </w:r>
      <w:r w:rsidRPr="0095337E">
        <w:rPr>
          <w:b/>
        </w:rPr>
        <w:instrText xml:space="preserve"> SEQ Table \* ARABIC </w:instrText>
      </w:r>
      <w:r w:rsidRPr="0095337E">
        <w:rPr>
          <w:b/>
        </w:rPr>
        <w:fldChar w:fldCharType="separate"/>
      </w:r>
      <w:r w:rsidR="00EF6959">
        <w:rPr>
          <w:b/>
          <w:noProof/>
        </w:rPr>
        <w:t>6</w:t>
      </w:r>
      <w:r w:rsidRPr="0095337E">
        <w:rPr>
          <w:b/>
        </w:rPr>
        <w:fldChar w:fldCharType="end"/>
      </w:r>
      <w:r w:rsidRPr="0095337E">
        <w:rPr>
          <w:b/>
        </w:rPr>
        <w:t xml:space="preserve">: </w:t>
      </w:r>
      <w:r w:rsidRPr="00BC4EC7">
        <w:t>Correlation between economic factors and profitability of commercial banks</w:t>
      </w:r>
      <w:bookmarkEnd w:id="120"/>
    </w:p>
    <w:tbl>
      <w:tblPr>
        <w:tblW w:w="8658"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340"/>
        <w:gridCol w:w="2340"/>
        <w:gridCol w:w="1988"/>
        <w:gridCol w:w="1990"/>
      </w:tblGrid>
      <w:tr w:rsidR="00954589" w14:paraId="3DFC0722" w14:textId="77777777" w:rsidTr="00525F1D">
        <w:trPr>
          <w:cantSplit/>
          <w:trHeight w:val="462"/>
          <w:tblHeader/>
        </w:trPr>
        <w:tc>
          <w:tcPr>
            <w:tcW w:w="2340" w:type="dxa"/>
            <w:tcBorders>
              <w:left w:val="nil"/>
              <w:right w:val="nil"/>
            </w:tcBorders>
            <w:shd w:val="clear" w:color="auto" w:fill="FFFFFF"/>
            <w:tcMar>
              <w:top w:w="30" w:type="dxa"/>
              <w:left w:w="30" w:type="dxa"/>
              <w:bottom w:w="30" w:type="dxa"/>
              <w:right w:w="30" w:type="dxa"/>
            </w:tcMar>
          </w:tcPr>
          <w:p w14:paraId="0186072D" w14:textId="77777777" w:rsidR="00954589" w:rsidRDefault="00954589" w:rsidP="00E62866">
            <w:pPr>
              <w:spacing w:line="240" w:lineRule="auto"/>
            </w:pPr>
          </w:p>
        </w:tc>
        <w:tc>
          <w:tcPr>
            <w:tcW w:w="2340" w:type="dxa"/>
            <w:tcBorders>
              <w:left w:val="nil"/>
              <w:right w:val="nil"/>
            </w:tcBorders>
            <w:shd w:val="clear" w:color="auto" w:fill="FFFFFF"/>
            <w:tcMar>
              <w:top w:w="30" w:type="dxa"/>
              <w:left w:w="30" w:type="dxa"/>
              <w:bottom w:w="30" w:type="dxa"/>
              <w:right w:w="30" w:type="dxa"/>
            </w:tcMar>
          </w:tcPr>
          <w:p w14:paraId="0DCDF3AF" w14:textId="77777777" w:rsidR="00954589" w:rsidRDefault="00954589" w:rsidP="00E62866">
            <w:pPr>
              <w:spacing w:line="240" w:lineRule="auto"/>
            </w:pPr>
          </w:p>
        </w:tc>
        <w:tc>
          <w:tcPr>
            <w:tcW w:w="1988" w:type="dxa"/>
            <w:tcBorders>
              <w:left w:val="nil"/>
              <w:right w:val="nil"/>
            </w:tcBorders>
            <w:shd w:val="clear" w:color="auto" w:fill="FFFFFF"/>
            <w:tcMar>
              <w:top w:w="30" w:type="dxa"/>
              <w:left w:w="30" w:type="dxa"/>
              <w:bottom w:w="30" w:type="dxa"/>
              <w:right w:w="30" w:type="dxa"/>
            </w:tcMar>
            <w:vAlign w:val="bottom"/>
          </w:tcPr>
          <w:p w14:paraId="310A4C1B" w14:textId="77777777" w:rsidR="00954589" w:rsidRDefault="00954589" w:rsidP="00E62866">
            <w:pPr>
              <w:spacing w:line="240" w:lineRule="auto"/>
              <w:jc w:val="center"/>
            </w:pPr>
            <w:r>
              <w:t>Economic factors</w:t>
            </w:r>
          </w:p>
        </w:tc>
        <w:tc>
          <w:tcPr>
            <w:tcW w:w="1990" w:type="dxa"/>
            <w:tcBorders>
              <w:left w:val="nil"/>
              <w:right w:val="nil"/>
            </w:tcBorders>
            <w:shd w:val="clear" w:color="auto" w:fill="FFFFFF"/>
            <w:tcMar>
              <w:top w:w="30" w:type="dxa"/>
              <w:left w:w="30" w:type="dxa"/>
              <w:bottom w:w="30" w:type="dxa"/>
              <w:right w:w="30" w:type="dxa"/>
            </w:tcMar>
            <w:vAlign w:val="bottom"/>
          </w:tcPr>
          <w:p w14:paraId="73166A61" w14:textId="77777777" w:rsidR="00954589" w:rsidRDefault="00954589" w:rsidP="00E62866">
            <w:pPr>
              <w:spacing w:line="240" w:lineRule="auto"/>
              <w:jc w:val="center"/>
            </w:pPr>
            <w:r>
              <w:t>Bank Profitability</w:t>
            </w:r>
          </w:p>
        </w:tc>
      </w:tr>
      <w:tr w:rsidR="00954589" w14:paraId="103FED2F" w14:textId="77777777" w:rsidTr="00525F1D">
        <w:trPr>
          <w:cantSplit/>
          <w:trHeight w:val="486"/>
          <w:tblHeader/>
        </w:trPr>
        <w:tc>
          <w:tcPr>
            <w:tcW w:w="2340" w:type="dxa"/>
            <w:vMerge w:val="restart"/>
            <w:tcBorders>
              <w:left w:val="nil"/>
              <w:right w:val="nil"/>
            </w:tcBorders>
            <w:shd w:val="clear" w:color="auto" w:fill="FFFFFF"/>
            <w:tcMar>
              <w:top w:w="30" w:type="dxa"/>
              <w:left w:w="30" w:type="dxa"/>
              <w:bottom w:w="30" w:type="dxa"/>
              <w:right w:w="30" w:type="dxa"/>
            </w:tcMar>
          </w:tcPr>
          <w:p w14:paraId="08AA7733" w14:textId="77777777" w:rsidR="00954589" w:rsidRDefault="00954589" w:rsidP="00E62866">
            <w:pPr>
              <w:spacing w:line="240" w:lineRule="auto"/>
            </w:pPr>
            <w:r>
              <w:t>Economic factors</w:t>
            </w:r>
          </w:p>
        </w:tc>
        <w:tc>
          <w:tcPr>
            <w:tcW w:w="2340" w:type="dxa"/>
            <w:tcBorders>
              <w:left w:val="nil"/>
              <w:bottom w:val="nil"/>
              <w:right w:val="nil"/>
            </w:tcBorders>
            <w:shd w:val="clear" w:color="auto" w:fill="FFFFFF"/>
            <w:tcMar>
              <w:top w:w="30" w:type="dxa"/>
              <w:left w:w="30" w:type="dxa"/>
              <w:bottom w:w="30" w:type="dxa"/>
              <w:right w:w="30" w:type="dxa"/>
            </w:tcMar>
          </w:tcPr>
          <w:p w14:paraId="0EAB9CD2" w14:textId="77777777" w:rsidR="00954589" w:rsidRDefault="00954589" w:rsidP="00E62866">
            <w:pPr>
              <w:spacing w:line="240" w:lineRule="auto"/>
            </w:pPr>
            <w:r>
              <w:t>Pearson Correlation</w:t>
            </w:r>
          </w:p>
        </w:tc>
        <w:tc>
          <w:tcPr>
            <w:tcW w:w="1988" w:type="dxa"/>
            <w:tcBorders>
              <w:left w:val="nil"/>
              <w:bottom w:val="nil"/>
              <w:right w:val="nil"/>
            </w:tcBorders>
            <w:shd w:val="clear" w:color="auto" w:fill="FFFFFF"/>
            <w:tcMar>
              <w:top w:w="30" w:type="dxa"/>
              <w:left w:w="30" w:type="dxa"/>
              <w:bottom w:w="30" w:type="dxa"/>
              <w:right w:w="30" w:type="dxa"/>
            </w:tcMar>
            <w:vAlign w:val="center"/>
          </w:tcPr>
          <w:p w14:paraId="68ABEE17" w14:textId="77777777" w:rsidR="00954589" w:rsidRDefault="00954589" w:rsidP="00E62866">
            <w:pPr>
              <w:spacing w:line="240" w:lineRule="auto"/>
              <w:jc w:val="right"/>
            </w:pPr>
            <w:r>
              <w:t>1</w:t>
            </w:r>
          </w:p>
        </w:tc>
        <w:tc>
          <w:tcPr>
            <w:tcW w:w="1990" w:type="dxa"/>
            <w:tcBorders>
              <w:left w:val="nil"/>
              <w:bottom w:val="nil"/>
              <w:right w:val="nil"/>
            </w:tcBorders>
            <w:shd w:val="clear" w:color="auto" w:fill="FFFFFF"/>
            <w:tcMar>
              <w:top w:w="30" w:type="dxa"/>
              <w:left w:w="30" w:type="dxa"/>
              <w:bottom w:w="30" w:type="dxa"/>
              <w:right w:w="30" w:type="dxa"/>
            </w:tcMar>
            <w:vAlign w:val="center"/>
          </w:tcPr>
          <w:p w14:paraId="26D9E556" w14:textId="77777777" w:rsidR="00954589" w:rsidRDefault="00954589" w:rsidP="00E62866">
            <w:pPr>
              <w:spacing w:line="240" w:lineRule="auto"/>
              <w:jc w:val="right"/>
            </w:pPr>
            <w:r>
              <w:t>.895</w:t>
            </w:r>
            <w:r>
              <w:rPr>
                <w:vertAlign w:val="superscript"/>
              </w:rPr>
              <w:t>**</w:t>
            </w:r>
          </w:p>
        </w:tc>
      </w:tr>
      <w:tr w:rsidR="00954589" w14:paraId="0C241177" w14:textId="77777777" w:rsidTr="00525F1D">
        <w:trPr>
          <w:cantSplit/>
          <w:trHeight w:val="330"/>
          <w:tblHeader/>
        </w:trPr>
        <w:tc>
          <w:tcPr>
            <w:tcW w:w="2340" w:type="dxa"/>
            <w:vMerge/>
            <w:tcBorders>
              <w:left w:val="nil"/>
              <w:right w:val="nil"/>
            </w:tcBorders>
            <w:shd w:val="clear" w:color="auto" w:fill="FFFFFF"/>
            <w:tcMar>
              <w:top w:w="30" w:type="dxa"/>
              <w:left w:w="30" w:type="dxa"/>
              <w:bottom w:w="30" w:type="dxa"/>
              <w:right w:w="30" w:type="dxa"/>
            </w:tcMar>
          </w:tcPr>
          <w:p w14:paraId="7F7AEED9" w14:textId="77777777" w:rsidR="00954589" w:rsidRDefault="00954589" w:rsidP="00E62866">
            <w:pPr>
              <w:spacing w:line="240" w:lineRule="auto"/>
            </w:pPr>
          </w:p>
        </w:tc>
        <w:tc>
          <w:tcPr>
            <w:tcW w:w="2340" w:type="dxa"/>
            <w:tcBorders>
              <w:top w:val="nil"/>
              <w:left w:val="nil"/>
              <w:bottom w:val="nil"/>
              <w:right w:val="nil"/>
            </w:tcBorders>
            <w:shd w:val="clear" w:color="auto" w:fill="FFFFFF"/>
            <w:tcMar>
              <w:top w:w="30" w:type="dxa"/>
              <w:left w:w="30" w:type="dxa"/>
              <w:bottom w:w="30" w:type="dxa"/>
              <w:right w:w="30" w:type="dxa"/>
            </w:tcMar>
          </w:tcPr>
          <w:p w14:paraId="2A2A05AD" w14:textId="77777777" w:rsidR="00954589" w:rsidRDefault="00954589" w:rsidP="00E62866">
            <w:pPr>
              <w:spacing w:line="240" w:lineRule="auto"/>
            </w:pPr>
            <w:r>
              <w:t>Sig. (2-tailed)</w:t>
            </w:r>
          </w:p>
        </w:tc>
        <w:tc>
          <w:tcPr>
            <w:tcW w:w="1988" w:type="dxa"/>
            <w:tcBorders>
              <w:top w:val="nil"/>
              <w:left w:val="nil"/>
              <w:bottom w:val="nil"/>
              <w:right w:val="nil"/>
            </w:tcBorders>
            <w:shd w:val="clear" w:color="auto" w:fill="FFFFFF"/>
            <w:tcMar>
              <w:top w:w="30" w:type="dxa"/>
              <w:left w:w="30" w:type="dxa"/>
              <w:bottom w:w="30" w:type="dxa"/>
              <w:right w:w="30" w:type="dxa"/>
            </w:tcMar>
          </w:tcPr>
          <w:p w14:paraId="292887A7" w14:textId="77777777" w:rsidR="00954589" w:rsidRDefault="00954589" w:rsidP="00E62866">
            <w:pPr>
              <w:spacing w:line="240" w:lineRule="auto"/>
            </w:pPr>
          </w:p>
        </w:tc>
        <w:tc>
          <w:tcPr>
            <w:tcW w:w="1990" w:type="dxa"/>
            <w:tcBorders>
              <w:top w:val="nil"/>
              <w:left w:val="nil"/>
              <w:bottom w:val="nil"/>
              <w:right w:val="nil"/>
            </w:tcBorders>
            <w:shd w:val="clear" w:color="auto" w:fill="FFFFFF"/>
            <w:tcMar>
              <w:top w:w="30" w:type="dxa"/>
              <w:left w:w="30" w:type="dxa"/>
              <w:bottom w:w="30" w:type="dxa"/>
              <w:right w:w="30" w:type="dxa"/>
            </w:tcMar>
            <w:vAlign w:val="center"/>
          </w:tcPr>
          <w:p w14:paraId="12E8E84A" w14:textId="77777777" w:rsidR="00954589" w:rsidRDefault="00954589" w:rsidP="00E62866">
            <w:pPr>
              <w:spacing w:line="240" w:lineRule="auto"/>
              <w:jc w:val="right"/>
            </w:pPr>
            <w:r>
              <w:t>.000</w:t>
            </w:r>
          </w:p>
        </w:tc>
      </w:tr>
      <w:tr w:rsidR="00954589" w14:paraId="09F9614E" w14:textId="77777777" w:rsidTr="00525F1D">
        <w:trPr>
          <w:cantSplit/>
          <w:trHeight w:val="313"/>
          <w:tblHeader/>
        </w:trPr>
        <w:tc>
          <w:tcPr>
            <w:tcW w:w="2340" w:type="dxa"/>
            <w:vMerge/>
            <w:tcBorders>
              <w:left w:val="nil"/>
              <w:right w:val="nil"/>
            </w:tcBorders>
            <w:shd w:val="clear" w:color="auto" w:fill="FFFFFF"/>
            <w:tcMar>
              <w:top w:w="30" w:type="dxa"/>
              <w:left w:w="30" w:type="dxa"/>
              <w:bottom w:w="30" w:type="dxa"/>
              <w:right w:w="30" w:type="dxa"/>
            </w:tcMar>
          </w:tcPr>
          <w:p w14:paraId="5EBEA6A5" w14:textId="77777777" w:rsidR="00954589" w:rsidRDefault="00954589" w:rsidP="00E62866">
            <w:pPr>
              <w:spacing w:line="240" w:lineRule="auto"/>
            </w:pPr>
          </w:p>
        </w:tc>
        <w:tc>
          <w:tcPr>
            <w:tcW w:w="2340" w:type="dxa"/>
            <w:tcBorders>
              <w:top w:val="nil"/>
              <w:left w:val="nil"/>
              <w:right w:val="nil"/>
            </w:tcBorders>
            <w:shd w:val="clear" w:color="auto" w:fill="FFFFFF"/>
            <w:tcMar>
              <w:top w:w="30" w:type="dxa"/>
              <w:left w:w="30" w:type="dxa"/>
              <w:bottom w:w="30" w:type="dxa"/>
              <w:right w:w="30" w:type="dxa"/>
            </w:tcMar>
          </w:tcPr>
          <w:p w14:paraId="530BEC6B" w14:textId="77777777" w:rsidR="00954589" w:rsidRDefault="00954589" w:rsidP="00E62866">
            <w:pPr>
              <w:spacing w:line="240" w:lineRule="auto"/>
            </w:pPr>
            <w:r>
              <w:t>N</w:t>
            </w:r>
          </w:p>
        </w:tc>
        <w:tc>
          <w:tcPr>
            <w:tcW w:w="1988" w:type="dxa"/>
            <w:tcBorders>
              <w:top w:val="nil"/>
              <w:left w:val="nil"/>
              <w:right w:val="nil"/>
            </w:tcBorders>
            <w:shd w:val="clear" w:color="auto" w:fill="FFFFFF"/>
            <w:tcMar>
              <w:top w:w="30" w:type="dxa"/>
              <w:left w:w="30" w:type="dxa"/>
              <w:bottom w:w="30" w:type="dxa"/>
              <w:right w:w="30" w:type="dxa"/>
            </w:tcMar>
            <w:vAlign w:val="center"/>
          </w:tcPr>
          <w:p w14:paraId="0B79B4F8" w14:textId="77777777" w:rsidR="00954589" w:rsidRDefault="00954589" w:rsidP="00E62866">
            <w:pPr>
              <w:spacing w:line="240" w:lineRule="auto"/>
              <w:jc w:val="right"/>
            </w:pPr>
            <w:r>
              <w:t>82</w:t>
            </w:r>
          </w:p>
        </w:tc>
        <w:tc>
          <w:tcPr>
            <w:tcW w:w="1990" w:type="dxa"/>
            <w:tcBorders>
              <w:top w:val="nil"/>
              <w:left w:val="nil"/>
              <w:right w:val="nil"/>
            </w:tcBorders>
            <w:shd w:val="clear" w:color="auto" w:fill="FFFFFF"/>
            <w:tcMar>
              <w:top w:w="30" w:type="dxa"/>
              <w:left w:w="30" w:type="dxa"/>
              <w:bottom w:w="30" w:type="dxa"/>
              <w:right w:w="30" w:type="dxa"/>
            </w:tcMar>
            <w:vAlign w:val="center"/>
          </w:tcPr>
          <w:p w14:paraId="57203761" w14:textId="77777777" w:rsidR="00954589" w:rsidRDefault="00954589" w:rsidP="00E62866">
            <w:pPr>
              <w:spacing w:line="240" w:lineRule="auto"/>
              <w:jc w:val="right"/>
            </w:pPr>
            <w:r>
              <w:t>82</w:t>
            </w:r>
          </w:p>
        </w:tc>
      </w:tr>
      <w:tr w:rsidR="00954589" w14:paraId="6913FA7F" w14:textId="77777777" w:rsidTr="00525F1D">
        <w:trPr>
          <w:cantSplit/>
          <w:trHeight w:val="478"/>
          <w:tblHeader/>
        </w:trPr>
        <w:tc>
          <w:tcPr>
            <w:tcW w:w="2340" w:type="dxa"/>
            <w:vMerge w:val="restart"/>
            <w:tcBorders>
              <w:left w:val="nil"/>
              <w:right w:val="nil"/>
            </w:tcBorders>
            <w:shd w:val="clear" w:color="auto" w:fill="FFFFFF"/>
            <w:tcMar>
              <w:top w:w="30" w:type="dxa"/>
              <w:left w:w="30" w:type="dxa"/>
              <w:bottom w:w="30" w:type="dxa"/>
              <w:right w:w="30" w:type="dxa"/>
            </w:tcMar>
          </w:tcPr>
          <w:p w14:paraId="3F169160" w14:textId="77777777" w:rsidR="00954589" w:rsidRDefault="00954589" w:rsidP="00E62866">
            <w:pPr>
              <w:spacing w:line="240" w:lineRule="auto"/>
            </w:pPr>
            <w:r>
              <w:t>Bank Profitability</w:t>
            </w:r>
          </w:p>
        </w:tc>
        <w:tc>
          <w:tcPr>
            <w:tcW w:w="2340" w:type="dxa"/>
            <w:tcBorders>
              <w:left w:val="nil"/>
              <w:bottom w:val="nil"/>
              <w:right w:val="nil"/>
            </w:tcBorders>
            <w:shd w:val="clear" w:color="auto" w:fill="FFFFFF"/>
            <w:tcMar>
              <w:top w:w="30" w:type="dxa"/>
              <w:left w:w="30" w:type="dxa"/>
              <w:bottom w:w="30" w:type="dxa"/>
              <w:right w:w="30" w:type="dxa"/>
            </w:tcMar>
          </w:tcPr>
          <w:p w14:paraId="5FD3F7E0" w14:textId="77777777" w:rsidR="00954589" w:rsidRDefault="00954589" w:rsidP="00E62866">
            <w:pPr>
              <w:spacing w:line="240" w:lineRule="auto"/>
            </w:pPr>
            <w:r>
              <w:t>Pearson Correlation</w:t>
            </w:r>
          </w:p>
        </w:tc>
        <w:tc>
          <w:tcPr>
            <w:tcW w:w="1988" w:type="dxa"/>
            <w:tcBorders>
              <w:left w:val="nil"/>
              <w:bottom w:val="nil"/>
              <w:right w:val="nil"/>
            </w:tcBorders>
            <w:shd w:val="clear" w:color="auto" w:fill="FFFFFF"/>
            <w:tcMar>
              <w:top w:w="30" w:type="dxa"/>
              <w:left w:w="30" w:type="dxa"/>
              <w:bottom w:w="30" w:type="dxa"/>
              <w:right w:w="30" w:type="dxa"/>
            </w:tcMar>
            <w:vAlign w:val="center"/>
          </w:tcPr>
          <w:p w14:paraId="61D92AB5" w14:textId="77777777" w:rsidR="00954589" w:rsidRDefault="00954589" w:rsidP="00E62866">
            <w:pPr>
              <w:spacing w:line="240" w:lineRule="auto"/>
              <w:jc w:val="right"/>
            </w:pPr>
            <w:r>
              <w:t>.895</w:t>
            </w:r>
            <w:r>
              <w:rPr>
                <w:vertAlign w:val="superscript"/>
              </w:rPr>
              <w:t>**</w:t>
            </w:r>
          </w:p>
        </w:tc>
        <w:tc>
          <w:tcPr>
            <w:tcW w:w="1990" w:type="dxa"/>
            <w:tcBorders>
              <w:left w:val="nil"/>
              <w:bottom w:val="nil"/>
              <w:right w:val="nil"/>
            </w:tcBorders>
            <w:shd w:val="clear" w:color="auto" w:fill="FFFFFF"/>
            <w:tcMar>
              <w:top w:w="30" w:type="dxa"/>
              <w:left w:w="30" w:type="dxa"/>
              <w:bottom w:w="30" w:type="dxa"/>
              <w:right w:w="30" w:type="dxa"/>
            </w:tcMar>
            <w:vAlign w:val="center"/>
          </w:tcPr>
          <w:p w14:paraId="634855E4" w14:textId="77777777" w:rsidR="00954589" w:rsidRDefault="00954589" w:rsidP="00E62866">
            <w:pPr>
              <w:spacing w:line="240" w:lineRule="auto"/>
              <w:jc w:val="right"/>
            </w:pPr>
            <w:r>
              <w:t>1</w:t>
            </w:r>
          </w:p>
        </w:tc>
      </w:tr>
      <w:tr w:rsidR="00954589" w14:paraId="65BD900B" w14:textId="77777777" w:rsidTr="00525F1D">
        <w:trPr>
          <w:cantSplit/>
          <w:trHeight w:val="330"/>
          <w:tblHeader/>
        </w:trPr>
        <w:tc>
          <w:tcPr>
            <w:tcW w:w="2340" w:type="dxa"/>
            <w:vMerge/>
            <w:tcBorders>
              <w:left w:val="nil"/>
              <w:right w:val="nil"/>
            </w:tcBorders>
            <w:shd w:val="clear" w:color="auto" w:fill="FFFFFF"/>
            <w:tcMar>
              <w:top w:w="30" w:type="dxa"/>
              <w:left w:w="30" w:type="dxa"/>
              <w:bottom w:w="30" w:type="dxa"/>
              <w:right w:w="30" w:type="dxa"/>
            </w:tcMar>
          </w:tcPr>
          <w:p w14:paraId="3E7DBED7" w14:textId="77777777" w:rsidR="00954589" w:rsidRDefault="00954589" w:rsidP="00E62866">
            <w:pPr>
              <w:spacing w:line="240" w:lineRule="auto"/>
            </w:pPr>
          </w:p>
        </w:tc>
        <w:tc>
          <w:tcPr>
            <w:tcW w:w="2340" w:type="dxa"/>
            <w:tcBorders>
              <w:top w:val="nil"/>
              <w:left w:val="nil"/>
              <w:bottom w:val="nil"/>
              <w:right w:val="nil"/>
            </w:tcBorders>
            <w:shd w:val="clear" w:color="auto" w:fill="FFFFFF"/>
            <w:tcMar>
              <w:top w:w="30" w:type="dxa"/>
              <w:left w:w="30" w:type="dxa"/>
              <w:bottom w:w="30" w:type="dxa"/>
              <w:right w:w="30" w:type="dxa"/>
            </w:tcMar>
          </w:tcPr>
          <w:p w14:paraId="790F1CBD" w14:textId="77777777" w:rsidR="00954589" w:rsidRDefault="00954589" w:rsidP="00E62866">
            <w:pPr>
              <w:spacing w:line="240" w:lineRule="auto"/>
            </w:pPr>
            <w:r>
              <w:t>Sig. (2-tailed)</w:t>
            </w:r>
          </w:p>
        </w:tc>
        <w:tc>
          <w:tcPr>
            <w:tcW w:w="1988" w:type="dxa"/>
            <w:tcBorders>
              <w:top w:val="nil"/>
              <w:left w:val="nil"/>
              <w:bottom w:val="nil"/>
              <w:right w:val="nil"/>
            </w:tcBorders>
            <w:shd w:val="clear" w:color="auto" w:fill="FFFFFF"/>
            <w:tcMar>
              <w:top w:w="30" w:type="dxa"/>
              <w:left w:w="30" w:type="dxa"/>
              <w:bottom w:w="30" w:type="dxa"/>
              <w:right w:w="30" w:type="dxa"/>
            </w:tcMar>
            <w:vAlign w:val="center"/>
          </w:tcPr>
          <w:p w14:paraId="53CE684F" w14:textId="77777777" w:rsidR="00954589" w:rsidRDefault="00954589" w:rsidP="00E62866">
            <w:pPr>
              <w:spacing w:line="240" w:lineRule="auto"/>
              <w:jc w:val="right"/>
            </w:pPr>
            <w:r>
              <w:t>.000</w:t>
            </w:r>
          </w:p>
        </w:tc>
        <w:tc>
          <w:tcPr>
            <w:tcW w:w="1990" w:type="dxa"/>
            <w:tcBorders>
              <w:top w:val="nil"/>
              <w:left w:val="nil"/>
              <w:bottom w:val="nil"/>
              <w:right w:val="nil"/>
            </w:tcBorders>
            <w:shd w:val="clear" w:color="auto" w:fill="FFFFFF"/>
            <w:tcMar>
              <w:top w:w="30" w:type="dxa"/>
              <w:left w:w="30" w:type="dxa"/>
              <w:bottom w:w="30" w:type="dxa"/>
              <w:right w:w="30" w:type="dxa"/>
            </w:tcMar>
          </w:tcPr>
          <w:p w14:paraId="30847D09" w14:textId="77777777" w:rsidR="00954589" w:rsidRDefault="00954589" w:rsidP="00E62866">
            <w:pPr>
              <w:spacing w:line="240" w:lineRule="auto"/>
            </w:pPr>
          </w:p>
        </w:tc>
      </w:tr>
      <w:tr w:rsidR="00954589" w14:paraId="7B41F6FC" w14:textId="77777777" w:rsidTr="00525F1D">
        <w:trPr>
          <w:cantSplit/>
          <w:trHeight w:val="313"/>
          <w:tblHeader/>
        </w:trPr>
        <w:tc>
          <w:tcPr>
            <w:tcW w:w="2340" w:type="dxa"/>
            <w:vMerge/>
            <w:tcBorders>
              <w:left w:val="nil"/>
              <w:right w:val="nil"/>
            </w:tcBorders>
            <w:shd w:val="clear" w:color="auto" w:fill="FFFFFF"/>
            <w:tcMar>
              <w:top w:w="30" w:type="dxa"/>
              <w:left w:w="30" w:type="dxa"/>
              <w:bottom w:w="30" w:type="dxa"/>
              <w:right w:w="30" w:type="dxa"/>
            </w:tcMar>
          </w:tcPr>
          <w:p w14:paraId="344BE4AB" w14:textId="77777777" w:rsidR="00954589" w:rsidRDefault="00954589" w:rsidP="00E62866">
            <w:pPr>
              <w:spacing w:line="240" w:lineRule="auto"/>
            </w:pPr>
          </w:p>
        </w:tc>
        <w:tc>
          <w:tcPr>
            <w:tcW w:w="2340" w:type="dxa"/>
            <w:tcBorders>
              <w:top w:val="nil"/>
              <w:left w:val="nil"/>
              <w:right w:val="nil"/>
            </w:tcBorders>
            <w:shd w:val="clear" w:color="auto" w:fill="FFFFFF"/>
            <w:tcMar>
              <w:top w:w="30" w:type="dxa"/>
              <w:left w:w="30" w:type="dxa"/>
              <w:bottom w:w="30" w:type="dxa"/>
              <w:right w:w="30" w:type="dxa"/>
            </w:tcMar>
          </w:tcPr>
          <w:p w14:paraId="5E903276" w14:textId="77777777" w:rsidR="00954589" w:rsidRDefault="00954589" w:rsidP="00E62866">
            <w:pPr>
              <w:spacing w:line="240" w:lineRule="auto"/>
            </w:pPr>
            <w:r>
              <w:t>N</w:t>
            </w:r>
          </w:p>
        </w:tc>
        <w:tc>
          <w:tcPr>
            <w:tcW w:w="1988" w:type="dxa"/>
            <w:tcBorders>
              <w:top w:val="nil"/>
              <w:left w:val="nil"/>
              <w:right w:val="nil"/>
            </w:tcBorders>
            <w:shd w:val="clear" w:color="auto" w:fill="FFFFFF"/>
            <w:tcMar>
              <w:top w:w="30" w:type="dxa"/>
              <w:left w:w="30" w:type="dxa"/>
              <w:bottom w:w="30" w:type="dxa"/>
              <w:right w:w="30" w:type="dxa"/>
            </w:tcMar>
            <w:vAlign w:val="center"/>
          </w:tcPr>
          <w:p w14:paraId="5CECB780" w14:textId="77777777" w:rsidR="00954589" w:rsidRDefault="00954589" w:rsidP="00E62866">
            <w:pPr>
              <w:spacing w:line="240" w:lineRule="auto"/>
              <w:jc w:val="right"/>
            </w:pPr>
            <w:r>
              <w:t>82</w:t>
            </w:r>
          </w:p>
        </w:tc>
        <w:tc>
          <w:tcPr>
            <w:tcW w:w="1990" w:type="dxa"/>
            <w:tcBorders>
              <w:top w:val="nil"/>
              <w:left w:val="nil"/>
              <w:right w:val="nil"/>
            </w:tcBorders>
            <w:shd w:val="clear" w:color="auto" w:fill="FFFFFF"/>
            <w:tcMar>
              <w:top w:w="30" w:type="dxa"/>
              <w:left w:w="30" w:type="dxa"/>
              <w:bottom w:w="30" w:type="dxa"/>
              <w:right w:w="30" w:type="dxa"/>
            </w:tcMar>
            <w:vAlign w:val="center"/>
          </w:tcPr>
          <w:p w14:paraId="00489327" w14:textId="77777777" w:rsidR="00954589" w:rsidRDefault="00954589" w:rsidP="00E62866">
            <w:pPr>
              <w:spacing w:line="240" w:lineRule="auto"/>
              <w:jc w:val="right"/>
            </w:pPr>
            <w:r>
              <w:t>82</w:t>
            </w:r>
          </w:p>
        </w:tc>
      </w:tr>
    </w:tbl>
    <w:p w14:paraId="2CAD2E1E" w14:textId="77777777" w:rsidR="00954589" w:rsidRDefault="00954589" w:rsidP="00E62866">
      <w:pPr>
        <w:spacing w:line="240" w:lineRule="auto"/>
        <w:jc w:val="both"/>
      </w:pPr>
      <w:r w:rsidRPr="00016C50">
        <w:rPr>
          <w:b/>
        </w:rPr>
        <w:t>Source: Researcher</w:t>
      </w:r>
      <w:r>
        <w:rPr>
          <w:b/>
        </w:rPr>
        <w:t>, 2016</w:t>
      </w:r>
    </w:p>
    <w:p w14:paraId="2C25E5CB" w14:textId="18D33C3A" w:rsidR="003F2F5F" w:rsidRDefault="00586B08" w:rsidP="00E62866">
      <w:pPr>
        <w:spacing w:line="240" w:lineRule="auto"/>
        <w:jc w:val="both"/>
      </w:pPr>
      <w:r>
        <w:t>Table 6</w:t>
      </w:r>
      <w:r w:rsidR="00954589">
        <w:t xml:space="preserve"> focuses on the relationship between variables under study, such as economic factors and profitability of BK. This relationship has been obtained through views and opinions of BK employees according to the research objectives and variables. The researcher used SPSS and found that the Pearson correlation coefficient (r) equals to 89.5%, this implies that correlation coefficient r = 89.5%. As well as P-value equals to 0.00, correlation is significant at the 0.01 level and r is positive, this is confirming that there is a significant and positive relationship between economic factors and profitability of BK. Therefore, from the above information, the researcher found that as long as economic factors are analyzed and predicted, it influences the profitabili</w:t>
      </w:r>
      <w:r>
        <w:t xml:space="preserve">ty of BK on the rate of 89.5%. </w:t>
      </w:r>
    </w:p>
    <w:p w14:paraId="2D7D16D1" w14:textId="573821C0" w:rsidR="00F91378" w:rsidRPr="002B1F80" w:rsidRDefault="00586B08" w:rsidP="00E62866">
      <w:pPr>
        <w:pStyle w:val="Caption"/>
        <w:spacing w:line="240" w:lineRule="auto"/>
        <w:rPr>
          <w:b/>
          <w:szCs w:val="24"/>
        </w:rPr>
      </w:pPr>
      <w:bookmarkStart w:id="121" w:name="_Toc452291621"/>
      <w:bookmarkStart w:id="122" w:name="_Toc452485284"/>
      <w:bookmarkStart w:id="123" w:name="_Toc455605354"/>
      <w:r>
        <w:rPr>
          <w:b/>
        </w:rPr>
        <w:t xml:space="preserve">Table </w:t>
      </w:r>
      <w:r w:rsidR="00F91378" w:rsidRPr="002B1F80">
        <w:rPr>
          <w:b/>
        </w:rPr>
        <w:fldChar w:fldCharType="begin"/>
      </w:r>
      <w:r w:rsidR="00F91378" w:rsidRPr="002B1F80">
        <w:rPr>
          <w:b/>
        </w:rPr>
        <w:instrText xml:space="preserve"> SEQ Table \* ARABIC </w:instrText>
      </w:r>
      <w:r w:rsidR="00F91378" w:rsidRPr="002B1F80">
        <w:rPr>
          <w:b/>
        </w:rPr>
        <w:fldChar w:fldCharType="separate"/>
      </w:r>
      <w:r w:rsidR="00EF6959">
        <w:rPr>
          <w:b/>
          <w:noProof/>
        </w:rPr>
        <w:t>7</w:t>
      </w:r>
      <w:r w:rsidR="00F91378" w:rsidRPr="002B1F80">
        <w:rPr>
          <w:b/>
        </w:rPr>
        <w:fldChar w:fldCharType="end"/>
      </w:r>
      <w:r w:rsidR="00F91378">
        <w:rPr>
          <w:b/>
        </w:rPr>
        <w:t xml:space="preserve">: </w:t>
      </w:r>
      <w:r w:rsidR="00F91378" w:rsidRPr="00BC4EC7">
        <w:t>Presentation and Analysis of Secondary data</w:t>
      </w:r>
      <w:bookmarkEnd w:id="121"/>
      <w:bookmarkEnd w:id="122"/>
      <w:bookmarkEnd w:id="123"/>
    </w:p>
    <w:tbl>
      <w:tblPr>
        <w:tblW w:w="9159" w:type="dxa"/>
        <w:tblLook w:val="04A0" w:firstRow="1" w:lastRow="0" w:firstColumn="1" w:lastColumn="0" w:noHBand="0" w:noVBand="1"/>
      </w:tblPr>
      <w:tblGrid>
        <w:gridCol w:w="3329"/>
        <w:gridCol w:w="1166"/>
        <w:gridCol w:w="1166"/>
        <w:gridCol w:w="1166"/>
        <w:gridCol w:w="1166"/>
        <w:gridCol w:w="1166"/>
      </w:tblGrid>
      <w:tr w:rsidR="00F91378" w:rsidRPr="00E45B69" w14:paraId="5640217B" w14:textId="77777777" w:rsidTr="0095337E">
        <w:trPr>
          <w:trHeight w:val="285"/>
        </w:trPr>
        <w:tc>
          <w:tcPr>
            <w:tcW w:w="3329" w:type="dxa"/>
            <w:tcBorders>
              <w:top w:val="single" w:sz="4" w:space="0" w:color="auto"/>
              <w:left w:val="nil"/>
              <w:bottom w:val="single" w:sz="4" w:space="0" w:color="auto"/>
              <w:right w:val="nil"/>
            </w:tcBorders>
            <w:shd w:val="clear" w:color="auto" w:fill="auto"/>
            <w:noWrap/>
            <w:vAlign w:val="bottom"/>
            <w:hideMark/>
          </w:tcPr>
          <w:p w14:paraId="32E12C3D"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Items/ Year</w:t>
            </w:r>
          </w:p>
        </w:tc>
        <w:tc>
          <w:tcPr>
            <w:tcW w:w="1166" w:type="dxa"/>
            <w:tcBorders>
              <w:top w:val="single" w:sz="4" w:space="0" w:color="auto"/>
              <w:left w:val="nil"/>
              <w:bottom w:val="single" w:sz="4" w:space="0" w:color="auto"/>
              <w:right w:val="nil"/>
            </w:tcBorders>
            <w:shd w:val="clear" w:color="auto" w:fill="auto"/>
            <w:noWrap/>
            <w:vAlign w:val="bottom"/>
            <w:hideMark/>
          </w:tcPr>
          <w:p w14:paraId="036AF19C"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2015</w:t>
            </w:r>
          </w:p>
        </w:tc>
        <w:tc>
          <w:tcPr>
            <w:tcW w:w="1166" w:type="dxa"/>
            <w:tcBorders>
              <w:top w:val="single" w:sz="4" w:space="0" w:color="auto"/>
              <w:left w:val="nil"/>
              <w:bottom w:val="single" w:sz="4" w:space="0" w:color="auto"/>
              <w:right w:val="nil"/>
            </w:tcBorders>
            <w:shd w:val="clear" w:color="auto" w:fill="auto"/>
            <w:noWrap/>
            <w:vAlign w:val="bottom"/>
            <w:hideMark/>
          </w:tcPr>
          <w:p w14:paraId="38C3B22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2014</w:t>
            </w:r>
          </w:p>
        </w:tc>
        <w:tc>
          <w:tcPr>
            <w:tcW w:w="1166" w:type="dxa"/>
            <w:tcBorders>
              <w:top w:val="single" w:sz="4" w:space="0" w:color="auto"/>
              <w:left w:val="nil"/>
              <w:bottom w:val="single" w:sz="4" w:space="0" w:color="auto"/>
              <w:right w:val="nil"/>
            </w:tcBorders>
            <w:shd w:val="clear" w:color="auto" w:fill="auto"/>
            <w:noWrap/>
            <w:vAlign w:val="bottom"/>
            <w:hideMark/>
          </w:tcPr>
          <w:p w14:paraId="4696831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2013</w:t>
            </w:r>
          </w:p>
        </w:tc>
        <w:tc>
          <w:tcPr>
            <w:tcW w:w="1166" w:type="dxa"/>
            <w:tcBorders>
              <w:top w:val="single" w:sz="4" w:space="0" w:color="auto"/>
              <w:left w:val="nil"/>
              <w:bottom w:val="single" w:sz="4" w:space="0" w:color="auto"/>
              <w:right w:val="nil"/>
            </w:tcBorders>
            <w:shd w:val="clear" w:color="auto" w:fill="auto"/>
            <w:noWrap/>
            <w:vAlign w:val="bottom"/>
            <w:hideMark/>
          </w:tcPr>
          <w:p w14:paraId="173106E5"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2012</w:t>
            </w:r>
          </w:p>
        </w:tc>
        <w:tc>
          <w:tcPr>
            <w:tcW w:w="1166" w:type="dxa"/>
            <w:tcBorders>
              <w:top w:val="single" w:sz="4" w:space="0" w:color="auto"/>
              <w:left w:val="nil"/>
              <w:bottom w:val="single" w:sz="4" w:space="0" w:color="auto"/>
              <w:right w:val="nil"/>
            </w:tcBorders>
            <w:shd w:val="clear" w:color="auto" w:fill="auto"/>
            <w:noWrap/>
            <w:vAlign w:val="bottom"/>
            <w:hideMark/>
          </w:tcPr>
          <w:p w14:paraId="4EE22F5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2011</w:t>
            </w:r>
          </w:p>
        </w:tc>
      </w:tr>
      <w:tr w:rsidR="00F91378" w:rsidRPr="00E45B69" w14:paraId="078B4ABD" w14:textId="77777777" w:rsidTr="0095337E">
        <w:trPr>
          <w:trHeight w:val="285"/>
        </w:trPr>
        <w:tc>
          <w:tcPr>
            <w:tcW w:w="3329" w:type="dxa"/>
            <w:tcBorders>
              <w:top w:val="nil"/>
              <w:left w:val="nil"/>
              <w:bottom w:val="nil"/>
              <w:right w:val="nil"/>
            </w:tcBorders>
            <w:shd w:val="clear" w:color="auto" w:fill="auto"/>
            <w:noWrap/>
            <w:vAlign w:val="bottom"/>
            <w:hideMark/>
          </w:tcPr>
          <w:p w14:paraId="755160F2"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Return On Assets</w:t>
            </w:r>
          </w:p>
        </w:tc>
        <w:tc>
          <w:tcPr>
            <w:tcW w:w="1166" w:type="dxa"/>
            <w:tcBorders>
              <w:top w:val="nil"/>
              <w:left w:val="nil"/>
              <w:bottom w:val="nil"/>
              <w:right w:val="nil"/>
            </w:tcBorders>
            <w:shd w:val="clear" w:color="auto" w:fill="auto"/>
            <w:noWrap/>
            <w:vAlign w:val="bottom"/>
            <w:hideMark/>
          </w:tcPr>
          <w:p w14:paraId="4E010805"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3.90%</w:t>
            </w:r>
          </w:p>
        </w:tc>
        <w:tc>
          <w:tcPr>
            <w:tcW w:w="1166" w:type="dxa"/>
            <w:tcBorders>
              <w:top w:val="nil"/>
              <w:left w:val="nil"/>
              <w:bottom w:val="nil"/>
              <w:right w:val="nil"/>
            </w:tcBorders>
            <w:shd w:val="clear" w:color="auto" w:fill="auto"/>
            <w:noWrap/>
            <w:vAlign w:val="bottom"/>
            <w:hideMark/>
          </w:tcPr>
          <w:p w14:paraId="189D7512"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4.00%</w:t>
            </w:r>
          </w:p>
        </w:tc>
        <w:tc>
          <w:tcPr>
            <w:tcW w:w="1166" w:type="dxa"/>
            <w:tcBorders>
              <w:top w:val="nil"/>
              <w:left w:val="nil"/>
              <w:bottom w:val="nil"/>
              <w:right w:val="nil"/>
            </w:tcBorders>
            <w:shd w:val="clear" w:color="auto" w:fill="auto"/>
            <w:noWrap/>
            <w:vAlign w:val="bottom"/>
            <w:hideMark/>
          </w:tcPr>
          <w:p w14:paraId="6BA0F16D"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4.00%</w:t>
            </w:r>
          </w:p>
        </w:tc>
        <w:tc>
          <w:tcPr>
            <w:tcW w:w="1166" w:type="dxa"/>
            <w:tcBorders>
              <w:top w:val="nil"/>
              <w:left w:val="nil"/>
              <w:bottom w:val="nil"/>
              <w:right w:val="nil"/>
            </w:tcBorders>
            <w:shd w:val="clear" w:color="auto" w:fill="auto"/>
            <w:noWrap/>
            <w:vAlign w:val="bottom"/>
            <w:hideMark/>
          </w:tcPr>
          <w:p w14:paraId="185AE427"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3.90%</w:t>
            </w:r>
          </w:p>
        </w:tc>
        <w:tc>
          <w:tcPr>
            <w:tcW w:w="1166" w:type="dxa"/>
            <w:tcBorders>
              <w:top w:val="nil"/>
              <w:left w:val="nil"/>
              <w:bottom w:val="nil"/>
              <w:right w:val="nil"/>
            </w:tcBorders>
            <w:shd w:val="clear" w:color="auto" w:fill="auto"/>
            <w:noWrap/>
            <w:vAlign w:val="bottom"/>
            <w:hideMark/>
          </w:tcPr>
          <w:p w14:paraId="71EF61E4"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3.60%</w:t>
            </w:r>
          </w:p>
        </w:tc>
      </w:tr>
      <w:tr w:rsidR="00F91378" w:rsidRPr="00E45B69" w14:paraId="24891121" w14:textId="77777777" w:rsidTr="0095337E">
        <w:trPr>
          <w:trHeight w:val="285"/>
        </w:trPr>
        <w:tc>
          <w:tcPr>
            <w:tcW w:w="3329" w:type="dxa"/>
            <w:tcBorders>
              <w:top w:val="nil"/>
              <w:left w:val="nil"/>
              <w:bottom w:val="nil"/>
              <w:right w:val="nil"/>
            </w:tcBorders>
            <w:shd w:val="clear" w:color="auto" w:fill="auto"/>
            <w:noWrap/>
            <w:vAlign w:val="bottom"/>
            <w:hideMark/>
          </w:tcPr>
          <w:p w14:paraId="05BEDF26"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Return On Equity</w:t>
            </w:r>
          </w:p>
        </w:tc>
        <w:tc>
          <w:tcPr>
            <w:tcW w:w="1166" w:type="dxa"/>
            <w:tcBorders>
              <w:top w:val="nil"/>
              <w:left w:val="nil"/>
              <w:bottom w:val="nil"/>
              <w:right w:val="nil"/>
            </w:tcBorders>
            <w:shd w:val="clear" w:color="auto" w:fill="auto"/>
            <w:noWrap/>
            <w:vAlign w:val="bottom"/>
            <w:hideMark/>
          </w:tcPr>
          <w:p w14:paraId="068367E9"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21.70%</w:t>
            </w:r>
          </w:p>
        </w:tc>
        <w:tc>
          <w:tcPr>
            <w:tcW w:w="1166" w:type="dxa"/>
            <w:tcBorders>
              <w:top w:val="nil"/>
              <w:left w:val="nil"/>
              <w:bottom w:val="nil"/>
              <w:right w:val="nil"/>
            </w:tcBorders>
            <w:shd w:val="clear" w:color="auto" w:fill="auto"/>
            <w:noWrap/>
            <w:vAlign w:val="bottom"/>
            <w:hideMark/>
          </w:tcPr>
          <w:p w14:paraId="7A360479"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22.90%</w:t>
            </w:r>
          </w:p>
        </w:tc>
        <w:tc>
          <w:tcPr>
            <w:tcW w:w="1166" w:type="dxa"/>
            <w:tcBorders>
              <w:top w:val="nil"/>
              <w:left w:val="nil"/>
              <w:bottom w:val="nil"/>
              <w:right w:val="nil"/>
            </w:tcBorders>
            <w:shd w:val="clear" w:color="auto" w:fill="auto"/>
            <w:noWrap/>
            <w:vAlign w:val="bottom"/>
            <w:hideMark/>
          </w:tcPr>
          <w:p w14:paraId="055683F5"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22.20%</w:t>
            </w:r>
          </w:p>
        </w:tc>
        <w:tc>
          <w:tcPr>
            <w:tcW w:w="1166" w:type="dxa"/>
            <w:tcBorders>
              <w:top w:val="nil"/>
              <w:left w:val="nil"/>
              <w:bottom w:val="nil"/>
              <w:right w:val="nil"/>
            </w:tcBorders>
            <w:shd w:val="clear" w:color="auto" w:fill="auto"/>
            <w:noWrap/>
            <w:vAlign w:val="bottom"/>
            <w:hideMark/>
          </w:tcPr>
          <w:p w14:paraId="6310F3FE"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18.90%</w:t>
            </w:r>
          </w:p>
        </w:tc>
        <w:tc>
          <w:tcPr>
            <w:tcW w:w="1166" w:type="dxa"/>
            <w:tcBorders>
              <w:top w:val="nil"/>
              <w:left w:val="nil"/>
              <w:bottom w:val="nil"/>
              <w:right w:val="nil"/>
            </w:tcBorders>
            <w:shd w:val="clear" w:color="auto" w:fill="auto"/>
            <w:noWrap/>
            <w:vAlign w:val="bottom"/>
            <w:hideMark/>
          </w:tcPr>
          <w:p w14:paraId="1C6D34A3"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18.60%</w:t>
            </w:r>
          </w:p>
        </w:tc>
      </w:tr>
      <w:tr w:rsidR="00F91378" w:rsidRPr="00E45B69" w14:paraId="7F4A5028" w14:textId="77777777" w:rsidTr="0095337E">
        <w:trPr>
          <w:trHeight w:val="285"/>
        </w:trPr>
        <w:tc>
          <w:tcPr>
            <w:tcW w:w="3329" w:type="dxa"/>
            <w:tcBorders>
              <w:top w:val="nil"/>
              <w:left w:val="nil"/>
              <w:bottom w:val="nil"/>
              <w:right w:val="nil"/>
            </w:tcBorders>
            <w:shd w:val="clear" w:color="auto" w:fill="auto"/>
            <w:noWrap/>
            <w:vAlign w:val="bottom"/>
            <w:hideMark/>
          </w:tcPr>
          <w:p w14:paraId="3962F681"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Net Interest Margin</w:t>
            </w:r>
          </w:p>
        </w:tc>
        <w:tc>
          <w:tcPr>
            <w:tcW w:w="1166" w:type="dxa"/>
            <w:tcBorders>
              <w:top w:val="nil"/>
              <w:left w:val="nil"/>
              <w:bottom w:val="nil"/>
              <w:right w:val="nil"/>
            </w:tcBorders>
            <w:shd w:val="clear" w:color="auto" w:fill="auto"/>
            <w:noWrap/>
            <w:vAlign w:val="bottom"/>
            <w:hideMark/>
          </w:tcPr>
          <w:p w14:paraId="249792B3"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10.10%</w:t>
            </w:r>
          </w:p>
        </w:tc>
        <w:tc>
          <w:tcPr>
            <w:tcW w:w="1166" w:type="dxa"/>
            <w:tcBorders>
              <w:top w:val="nil"/>
              <w:left w:val="nil"/>
              <w:bottom w:val="nil"/>
              <w:right w:val="nil"/>
            </w:tcBorders>
            <w:shd w:val="clear" w:color="auto" w:fill="auto"/>
            <w:noWrap/>
            <w:vAlign w:val="bottom"/>
            <w:hideMark/>
          </w:tcPr>
          <w:p w14:paraId="65E39CB7"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9.90%</w:t>
            </w:r>
          </w:p>
        </w:tc>
        <w:tc>
          <w:tcPr>
            <w:tcW w:w="1166" w:type="dxa"/>
            <w:tcBorders>
              <w:top w:val="nil"/>
              <w:left w:val="nil"/>
              <w:bottom w:val="nil"/>
              <w:right w:val="nil"/>
            </w:tcBorders>
            <w:shd w:val="clear" w:color="auto" w:fill="auto"/>
            <w:noWrap/>
            <w:vAlign w:val="bottom"/>
            <w:hideMark/>
          </w:tcPr>
          <w:p w14:paraId="68000174"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11.10%</w:t>
            </w:r>
          </w:p>
        </w:tc>
        <w:tc>
          <w:tcPr>
            <w:tcW w:w="1166" w:type="dxa"/>
            <w:tcBorders>
              <w:top w:val="nil"/>
              <w:left w:val="nil"/>
              <w:bottom w:val="nil"/>
              <w:right w:val="nil"/>
            </w:tcBorders>
            <w:shd w:val="clear" w:color="auto" w:fill="auto"/>
            <w:noWrap/>
            <w:vAlign w:val="bottom"/>
            <w:hideMark/>
          </w:tcPr>
          <w:p w14:paraId="6344AB56"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9.60%</w:t>
            </w:r>
          </w:p>
        </w:tc>
        <w:tc>
          <w:tcPr>
            <w:tcW w:w="1166" w:type="dxa"/>
            <w:tcBorders>
              <w:top w:val="nil"/>
              <w:left w:val="nil"/>
              <w:bottom w:val="nil"/>
              <w:right w:val="nil"/>
            </w:tcBorders>
            <w:shd w:val="clear" w:color="auto" w:fill="auto"/>
            <w:noWrap/>
            <w:vAlign w:val="bottom"/>
            <w:hideMark/>
          </w:tcPr>
          <w:p w14:paraId="5C6DE72B"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8.40%</w:t>
            </w:r>
          </w:p>
        </w:tc>
      </w:tr>
      <w:tr w:rsidR="00F91378" w:rsidRPr="00E45B69" w14:paraId="2D3C029E" w14:textId="77777777" w:rsidTr="0095337E">
        <w:trPr>
          <w:trHeight w:val="299"/>
        </w:trPr>
        <w:tc>
          <w:tcPr>
            <w:tcW w:w="3329" w:type="dxa"/>
            <w:tcBorders>
              <w:top w:val="nil"/>
              <w:left w:val="nil"/>
              <w:bottom w:val="nil"/>
              <w:right w:val="nil"/>
            </w:tcBorders>
            <w:shd w:val="clear" w:color="auto" w:fill="auto"/>
            <w:noWrap/>
            <w:vAlign w:val="bottom"/>
            <w:hideMark/>
          </w:tcPr>
          <w:p w14:paraId="60F2122E"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Capital Adequacy</w:t>
            </w:r>
          </w:p>
        </w:tc>
        <w:tc>
          <w:tcPr>
            <w:tcW w:w="1166" w:type="dxa"/>
            <w:tcBorders>
              <w:top w:val="nil"/>
              <w:left w:val="nil"/>
              <w:bottom w:val="nil"/>
              <w:right w:val="nil"/>
            </w:tcBorders>
            <w:shd w:val="clear" w:color="auto" w:fill="auto"/>
            <w:noWrap/>
            <w:vAlign w:val="bottom"/>
            <w:hideMark/>
          </w:tcPr>
          <w:p w14:paraId="41B04E1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22.10%</w:t>
            </w:r>
          </w:p>
        </w:tc>
        <w:tc>
          <w:tcPr>
            <w:tcW w:w="1166" w:type="dxa"/>
            <w:tcBorders>
              <w:top w:val="nil"/>
              <w:left w:val="nil"/>
              <w:bottom w:val="nil"/>
              <w:right w:val="nil"/>
            </w:tcBorders>
            <w:shd w:val="clear" w:color="auto" w:fill="auto"/>
            <w:noWrap/>
            <w:vAlign w:val="bottom"/>
            <w:hideMark/>
          </w:tcPr>
          <w:p w14:paraId="23B0D154"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25.80%</w:t>
            </w:r>
          </w:p>
        </w:tc>
        <w:tc>
          <w:tcPr>
            <w:tcW w:w="1166" w:type="dxa"/>
            <w:tcBorders>
              <w:top w:val="nil"/>
              <w:left w:val="nil"/>
              <w:bottom w:val="nil"/>
              <w:right w:val="nil"/>
            </w:tcBorders>
            <w:shd w:val="clear" w:color="auto" w:fill="auto"/>
            <w:noWrap/>
            <w:vAlign w:val="bottom"/>
            <w:hideMark/>
          </w:tcPr>
          <w:p w14:paraId="515B387D"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23.10%</w:t>
            </w:r>
          </w:p>
        </w:tc>
        <w:tc>
          <w:tcPr>
            <w:tcW w:w="1166" w:type="dxa"/>
            <w:tcBorders>
              <w:top w:val="nil"/>
              <w:left w:val="nil"/>
              <w:bottom w:val="nil"/>
              <w:right w:val="nil"/>
            </w:tcBorders>
            <w:shd w:val="clear" w:color="auto" w:fill="auto"/>
            <w:noWrap/>
            <w:vAlign w:val="bottom"/>
            <w:hideMark/>
          </w:tcPr>
          <w:p w14:paraId="3392FD5C"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22.40%</w:t>
            </w:r>
          </w:p>
        </w:tc>
        <w:tc>
          <w:tcPr>
            <w:tcW w:w="1166" w:type="dxa"/>
            <w:tcBorders>
              <w:top w:val="nil"/>
              <w:left w:val="nil"/>
              <w:bottom w:val="nil"/>
              <w:right w:val="nil"/>
            </w:tcBorders>
            <w:shd w:val="clear" w:color="auto" w:fill="auto"/>
            <w:noWrap/>
            <w:vAlign w:val="bottom"/>
            <w:hideMark/>
          </w:tcPr>
          <w:p w14:paraId="290E861E"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28.10%</w:t>
            </w:r>
          </w:p>
        </w:tc>
      </w:tr>
      <w:tr w:rsidR="00F91378" w:rsidRPr="00E45B69" w14:paraId="265495E1" w14:textId="77777777" w:rsidTr="0095337E">
        <w:trPr>
          <w:trHeight w:val="299"/>
        </w:trPr>
        <w:tc>
          <w:tcPr>
            <w:tcW w:w="3329" w:type="dxa"/>
            <w:tcBorders>
              <w:top w:val="nil"/>
              <w:left w:val="nil"/>
              <w:bottom w:val="nil"/>
              <w:right w:val="nil"/>
            </w:tcBorders>
            <w:shd w:val="clear" w:color="auto" w:fill="auto"/>
            <w:noWrap/>
            <w:vAlign w:val="bottom"/>
            <w:hideMark/>
          </w:tcPr>
          <w:p w14:paraId="723D3971"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Asset Quality</w:t>
            </w:r>
          </w:p>
        </w:tc>
        <w:tc>
          <w:tcPr>
            <w:tcW w:w="1166" w:type="dxa"/>
            <w:tcBorders>
              <w:top w:val="nil"/>
              <w:left w:val="nil"/>
              <w:bottom w:val="nil"/>
              <w:right w:val="nil"/>
            </w:tcBorders>
            <w:shd w:val="clear" w:color="auto" w:fill="auto"/>
            <w:noWrap/>
            <w:vAlign w:val="bottom"/>
            <w:hideMark/>
          </w:tcPr>
          <w:p w14:paraId="31D1A04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4.90%</w:t>
            </w:r>
          </w:p>
        </w:tc>
        <w:tc>
          <w:tcPr>
            <w:tcW w:w="1166" w:type="dxa"/>
            <w:tcBorders>
              <w:top w:val="nil"/>
              <w:left w:val="nil"/>
              <w:bottom w:val="nil"/>
              <w:right w:val="nil"/>
            </w:tcBorders>
            <w:shd w:val="clear" w:color="auto" w:fill="auto"/>
            <w:noWrap/>
            <w:vAlign w:val="bottom"/>
            <w:hideMark/>
          </w:tcPr>
          <w:p w14:paraId="51FECA4A"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6.60%</w:t>
            </w:r>
          </w:p>
        </w:tc>
        <w:tc>
          <w:tcPr>
            <w:tcW w:w="1166" w:type="dxa"/>
            <w:tcBorders>
              <w:top w:val="nil"/>
              <w:left w:val="nil"/>
              <w:bottom w:val="nil"/>
              <w:right w:val="nil"/>
            </w:tcBorders>
            <w:shd w:val="clear" w:color="auto" w:fill="auto"/>
            <w:noWrap/>
            <w:vAlign w:val="bottom"/>
            <w:hideMark/>
          </w:tcPr>
          <w:p w14:paraId="36A35472"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6.90%</w:t>
            </w:r>
          </w:p>
        </w:tc>
        <w:tc>
          <w:tcPr>
            <w:tcW w:w="1166" w:type="dxa"/>
            <w:tcBorders>
              <w:top w:val="nil"/>
              <w:left w:val="nil"/>
              <w:bottom w:val="nil"/>
              <w:right w:val="nil"/>
            </w:tcBorders>
            <w:shd w:val="clear" w:color="auto" w:fill="auto"/>
            <w:noWrap/>
            <w:vAlign w:val="bottom"/>
            <w:hideMark/>
          </w:tcPr>
          <w:p w14:paraId="32EB71E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6.50%</w:t>
            </w:r>
          </w:p>
        </w:tc>
        <w:tc>
          <w:tcPr>
            <w:tcW w:w="1166" w:type="dxa"/>
            <w:tcBorders>
              <w:top w:val="nil"/>
              <w:left w:val="nil"/>
              <w:bottom w:val="nil"/>
              <w:right w:val="nil"/>
            </w:tcBorders>
            <w:shd w:val="clear" w:color="auto" w:fill="auto"/>
            <w:noWrap/>
            <w:vAlign w:val="bottom"/>
            <w:hideMark/>
          </w:tcPr>
          <w:p w14:paraId="0D7D989E"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8.30%</w:t>
            </w:r>
          </w:p>
        </w:tc>
      </w:tr>
      <w:tr w:rsidR="00F91378" w:rsidRPr="00E45B69" w14:paraId="2FA092AD" w14:textId="77777777" w:rsidTr="0095337E">
        <w:trPr>
          <w:trHeight w:val="299"/>
        </w:trPr>
        <w:tc>
          <w:tcPr>
            <w:tcW w:w="3329" w:type="dxa"/>
            <w:tcBorders>
              <w:top w:val="nil"/>
              <w:left w:val="nil"/>
              <w:bottom w:val="nil"/>
              <w:right w:val="nil"/>
            </w:tcBorders>
            <w:shd w:val="clear" w:color="auto" w:fill="auto"/>
            <w:noWrap/>
            <w:vAlign w:val="bottom"/>
            <w:hideMark/>
          </w:tcPr>
          <w:p w14:paraId="1606A039"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Efficiency</w:t>
            </w:r>
          </w:p>
        </w:tc>
        <w:tc>
          <w:tcPr>
            <w:tcW w:w="1166" w:type="dxa"/>
            <w:tcBorders>
              <w:top w:val="nil"/>
              <w:left w:val="nil"/>
              <w:bottom w:val="nil"/>
              <w:right w:val="nil"/>
            </w:tcBorders>
            <w:shd w:val="clear" w:color="auto" w:fill="auto"/>
            <w:noWrap/>
            <w:vAlign w:val="bottom"/>
            <w:hideMark/>
          </w:tcPr>
          <w:p w14:paraId="173D6920"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47.80%</w:t>
            </w:r>
          </w:p>
        </w:tc>
        <w:tc>
          <w:tcPr>
            <w:tcW w:w="1166" w:type="dxa"/>
            <w:tcBorders>
              <w:top w:val="nil"/>
              <w:left w:val="nil"/>
              <w:bottom w:val="nil"/>
              <w:right w:val="nil"/>
            </w:tcBorders>
            <w:shd w:val="clear" w:color="auto" w:fill="auto"/>
            <w:noWrap/>
            <w:vAlign w:val="bottom"/>
            <w:hideMark/>
          </w:tcPr>
          <w:p w14:paraId="29F6AFDE"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47.90%</w:t>
            </w:r>
          </w:p>
        </w:tc>
        <w:tc>
          <w:tcPr>
            <w:tcW w:w="1166" w:type="dxa"/>
            <w:tcBorders>
              <w:top w:val="nil"/>
              <w:left w:val="nil"/>
              <w:bottom w:val="nil"/>
              <w:right w:val="nil"/>
            </w:tcBorders>
            <w:shd w:val="clear" w:color="auto" w:fill="auto"/>
            <w:noWrap/>
            <w:vAlign w:val="bottom"/>
            <w:hideMark/>
          </w:tcPr>
          <w:p w14:paraId="77C596C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48.40%</w:t>
            </w:r>
          </w:p>
        </w:tc>
        <w:tc>
          <w:tcPr>
            <w:tcW w:w="1166" w:type="dxa"/>
            <w:tcBorders>
              <w:top w:val="nil"/>
              <w:left w:val="nil"/>
              <w:bottom w:val="nil"/>
              <w:right w:val="nil"/>
            </w:tcBorders>
            <w:shd w:val="clear" w:color="auto" w:fill="auto"/>
            <w:noWrap/>
            <w:vAlign w:val="bottom"/>
            <w:hideMark/>
          </w:tcPr>
          <w:p w14:paraId="7237881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52.80%</w:t>
            </w:r>
          </w:p>
        </w:tc>
        <w:tc>
          <w:tcPr>
            <w:tcW w:w="1166" w:type="dxa"/>
            <w:tcBorders>
              <w:top w:val="nil"/>
              <w:left w:val="nil"/>
              <w:bottom w:val="nil"/>
              <w:right w:val="nil"/>
            </w:tcBorders>
            <w:shd w:val="clear" w:color="auto" w:fill="auto"/>
            <w:noWrap/>
            <w:vAlign w:val="bottom"/>
            <w:hideMark/>
          </w:tcPr>
          <w:p w14:paraId="576DF017"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48.40%</w:t>
            </w:r>
          </w:p>
        </w:tc>
      </w:tr>
      <w:tr w:rsidR="00F91378" w:rsidRPr="00E45B69" w14:paraId="59CC7070" w14:textId="77777777" w:rsidTr="0095337E">
        <w:trPr>
          <w:trHeight w:val="299"/>
        </w:trPr>
        <w:tc>
          <w:tcPr>
            <w:tcW w:w="3329" w:type="dxa"/>
            <w:tcBorders>
              <w:top w:val="nil"/>
              <w:left w:val="nil"/>
              <w:bottom w:val="nil"/>
              <w:right w:val="nil"/>
            </w:tcBorders>
            <w:shd w:val="clear" w:color="auto" w:fill="auto"/>
            <w:noWrap/>
            <w:vAlign w:val="bottom"/>
            <w:hideMark/>
          </w:tcPr>
          <w:p w14:paraId="3E27B50A"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Liquidity</w:t>
            </w:r>
          </w:p>
        </w:tc>
        <w:tc>
          <w:tcPr>
            <w:tcW w:w="1166" w:type="dxa"/>
            <w:tcBorders>
              <w:top w:val="nil"/>
              <w:left w:val="nil"/>
              <w:bottom w:val="nil"/>
              <w:right w:val="nil"/>
            </w:tcBorders>
            <w:shd w:val="clear" w:color="auto" w:fill="auto"/>
            <w:noWrap/>
            <w:vAlign w:val="bottom"/>
            <w:hideMark/>
          </w:tcPr>
          <w:p w14:paraId="14591155"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55.90%</w:t>
            </w:r>
          </w:p>
        </w:tc>
        <w:tc>
          <w:tcPr>
            <w:tcW w:w="1166" w:type="dxa"/>
            <w:tcBorders>
              <w:top w:val="nil"/>
              <w:left w:val="nil"/>
              <w:bottom w:val="nil"/>
              <w:right w:val="nil"/>
            </w:tcBorders>
            <w:shd w:val="clear" w:color="auto" w:fill="auto"/>
            <w:noWrap/>
            <w:vAlign w:val="bottom"/>
            <w:hideMark/>
          </w:tcPr>
          <w:p w14:paraId="37FAB56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48.40%</w:t>
            </w:r>
          </w:p>
        </w:tc>
        <w:tc>
          <w:tcPr>
            <w:tcW w:w="1166" w:type="dxa"/>
            <w:tcBorders>
              <w:top w:val="nil"/>
              <w:left w:val="nil"/>
              <w:bottom w:val="nil"/>
              <w:right w:val="nil"/>
            </w:tcBorders>
            <w:shd w:val="clear" w:color="auto" w:fill="auto"/>
            <w:noWrap/>
            <w:vAlign w:val="bottom"/>
            <w:hideMark/>
          </w:tcPr>
          <w:p w14:paraId="280E3438"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47.10%</w:t>
            </w:r>
          </w:p>
        </w:tc>
        <w:tc>
          <w:tcPr>
            <w:tcW w:w="1166" w:type="dxa"/>
            <w:tcBorders>
              <w:top w:val="nil"/>
              <w:left w:val="nil"/>
              <w:bottom w:val="nil"/>
              <w:right w:val="nil"/>
            </w:tcBorders>
            <w:shd w:val="clear" w:color="auto" w:fill="auto"/>
            <w:noWrap/>
            <w:vAlign w:val="bottom"/>
            <w:hideMark/>
          </w:tcPr>
          <w:p w14:paraId="43F60F3A"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57.30%</w:t>
            </w:r>
          </w:p>
        </w:tc>
        <w:tc>
          <w:tcPr>
            <w:tcW w:w="1166" w:type="dxa"/>
            <w:tcBorders>
              <w:top w:val="nil"/>
              <w:left w:val="nil"/>
              <w:bottom w:val="nil"/>
              <w:right w:val="nil"/>
            </w:tcBorders>
            <w:shd w:val="clear" w:color="auto" w:fill="auto"/>
            <w:noWrap/>
            <w:vAlign w:val="bottom"/>
            <w:hideMark/>
          </w:tcPr>
          <w:p w14:paraId="51B2F777"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42.80%</w:t>
            </w:r>
          </w:p>
        </w:tc>
      </w:tr>
      <w:tr w:rsidR="00F91378" w:rsidRPr="00E45B69" w14:paraId="23A4D959" w14:textId="77777777" w:rsidTr="0095337E">
        <w:trPr>
          <w:trHeight w:val="299"/>
        </w:trPr>
        <w:tc>
          <w:tcPr>
            <w:tcW w:w="3329" w:type="dxa"/>
            <w:tcBorders>
              <w:top w:val="nil"/>
              <w:left w:val="nil"/>
              <w:bottom w:val="nil"/>
              <w:right w:val="nil"/>
            </w:tcBorders>
            <w:shd w:val="clear" w:color="auto" w:fill="auto"/>
            <w:noWrap/>
            <w:vAlign w:val="bottom"/>
            <w:hideMark/>
          </w:tcPr>
          <w:p w14:paraId="13025B39"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Real GDP growth rate</w:t>
            </w:r>
          </w:p>
        </w:tc>
        <w:tc>
          <w:tcPr>
            <w:tcW w:w="1166" w:type="dxa"/>
            <w:tcBorders>
              <w:top w:val="nil"/>
              <w:left w:val="nil"/>
              <w:bottom w:val="nil"/>
              <w:right w:val="nil"/>
            </w:tcBorders>
            <w:shd w:val="clear" w:color="auto" w:fill="auto"/>
            <w:noWrap/>
            <w:vAlign w:val="bottom"/>
            <w:hideMark/>
          </w:tcPr>
          <w:p w14:paraId="5C7247B6"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7.10%</w:t>
            </w:r>
          </w:p>
        </w:tc>
        <w:tc>
          <w:tcPr>
            <w:tcW w:w="1166" w:type="dxa"/>
            <w:tcBorders>
              <w:top w:val="nil"/>
              <w:left w:val="nil"/>
              <w:bottom w:val="nil"/>
              <w:right w:val="nil"/>
            </w:tcBorders>
            <w:shd w:val="clear" w:color="auto" w:fill="auto"/>
            <w:noWrap/>
            <w:vAlign w:val="bottom"/>
            <w:hideMark/>
          </w:tcPr>
          <w:p w14:paraId="2735FF30"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6%</w:t>
            </w:r>
          </w:p>
        </w:tc>
        <w:tc>
          <w:tcPr>
            <w:tcW w:w="1166" w:type="dxa"/>
            <w:tcBorders>
              <w:top w:val="nil"/>
              <w:left w:val="nil"/>
              <w:bottom w:val="nil"/>
              <w:right w:val="nil"/>
            </w:tcBorders>
            <w:shd w:val="clear" w:color="auto" w:fill="auto"/>
            <w:noWrap/>
            <w:vAlign w:val="bottom"/>
            <w:hideMark/>
          </w:tcPr>
          <w:p w14:paraId="5D8BA7C2"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4.60%</w:t>
            </w:r>
          </w:p>
        </w:tc>
        <w:tc>
          <w:tcPr>
            <w:tcW w:w="1166" w:type="dxa"/>
            <w:tcBorders>
              <w:top w:val="nil"/>
              <w:left w:val="nil"/>
              <w:bottom w:val="nil"/>
              <w:right w:val="nil"/>
            </w:tcBorders>
            <w:shd w:val="clear" w:color="auto" w:fill="auto"/>
            <w:noWrap/>
            <w:vAlign w:val="bottom"/>
            <w:hideMark/>
          </w:tcPr>
          <w:p w14:paraId="51AF96B7"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8%</w:t>
            </w:r>
          </w:p>
        </w:tc>
        <w:tc>
          <w:tcPr>
            <w:tcW w:w="1166" w:type="dxa"/>
            <w:tcBorders>
              <w:top w:val="nil"/>
              <w:left w:val="nil"/>
              <w:bottom w:val="nil"/>
              <w:right w:val="nil"/>
            </w:tcBorders>
            <w:shd w:val="clear" w:color="auto" w:fill="auto"/>
            <w:noWrap/>
            <w:vAlign w:val="bottom"/>
            <w:hideMark/>
          </w:tcPr>
          <w:p w14:paraId="5835D122"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6.50%</w:t>
            </w:r>
          </w:p>
        </w:tc>
      </w:tr>
      <w:tr w:rsidR="00F91378" w:rsidRPr="00E45B69" w14:paraId="40A88BD4" w14:textId="77777777" w:rsidTr="0095337E">
        <w:trPr>
          <w:trHeight w:val="299"/>
        </w:trPr>
        <w:tc>
          <w:tcPr>
            <w:tcW w:w="3329" w:type="dxa"/>
            <w:tcBorders>
              <w:top w:val="nil"/>
              <w:left w:val="nil"/>
              <w:bottom w:val="single" w:sz="4" w:space="0" w:color="auto"/>
              <w:right w:val="nil"/>
            </w:tcBorders>
            <w:shd w:val="clear" w:color="auto" w:fill="auto"/>
            <w:noWrap/>
            <w:vAlign w:val="bottom"/>
            <w:hideMark/>
          </w:tcPr>
          <w:p w14:paraId="0632F690" w14:textId="77777777" w:rsidR="00F91378" w:rsidRPr="00E45B69" w:rsidRDefault="00F91378" w:rsidP="00E62866">
            <w:pPr>
              <w:spacing w:after="0" w:line="240" w:lineRule="auto"/>
              <w:rPr>
                <w:rFonts w:eastAsia="Times New Roman"/>
                <w:color w:val="000000"/>
              </w:rPr>
            </w:pPr>
            <w:r w:rsidRPr="00E45B69">
              <w:rPr>
                <w:rFonts w:eastAsia="Times New Roman"/>
                <w:color w:val="000000"/>
              </w:rPr>
              <w:t>Average annual Inflation rate</w:t>
            </w:r>
          </w:p>
        </w:tc>
        <w:tc>
          <w:tcPr>
            <w:tcW w:w="1166" w:type="dxa"/>
            <w:tcBorders>
              <w:top w:val="nil"/>
              <w:left w:val="nil"/>
              <w:bottom w:val="single" w:sz="4" w:space="0" w:color="auto"/>
              <w:right w:val="nil"/>
            </w:tcBorders>
            <w:shd w:val="clear" w:color="auto" w:fill="auto"/>
            <w:noWrap/>
            <w:vAlign w:val="bottom"/>
            <w:hideMark/>
          </w:tcPr>
          <w:p w14:paraId="6C29B3D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4.50%</w:t>
            </w:r>
          </w:p>
        </w:tc>
        <w:tc>
          <w:tcPr>
            <w:tcW w:w="1166" w:type="dxa"/>
            <w:tcBorders>
              <w:top w:val="nil"/>
              <w:left w:val="nil"/>
              <w:bottom w:val="single" w:sz="4" w:space="0" w:color="auto"/>
              <w:right w:val="nil"/>
            </w:tcBorders>
            <w:shd w:val="clear" w:color="auto" w:fill="auto"/>
            <w:noWrap/>
            <w:vAlign w:val="bottom"/>
            <w:hideMark/>
          </w:tcPr>
          <w:p w14:paraId="16E66FBF"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2.10%</w:t>
            </w:r>
          </w:p>
        </w:tc>
        <w:tc>
          <w:tcPr>
            <w:tcW w:w="1166" w:type="dxa"/>
            <w:tcBorders>
              <w:top w:val="nil"/>
              <w:left w:val="nil"/>
              <w:bottom w:val="single" w:sz="4" w:space="0" w:color="auto"/>
              <w:right w:val="nil"/>
            </w:tcBorders>
            <w:shd w:val="clear" w:color="auto" w:fill="auto"/>
            <w:noWrap/>
            <w:vAlign w:val="bottom"/>
            <w:hideMark/>
          </w:tcPr>
          <w:p w14:paraId="21599E12"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3.70%</w:t>
            </w:r>
          </w:p>
        </w:tc>
        <w:tc>
          <w:tcPr>
            <w:tcW w:w="1166" w:type="dxa"/>
            <w:tcBorders>
              <w:top w:val="nil"/>
              <w:left w:val="nil"/>
              <w:bottom w:val="single" w:sz="4" w:space="0" w:color="auto"/>
              <w:right w:val="nil"/>
            </w:tcBorders>
            <w:shd w:val="clear" w:color="auto" w:fill="auto"/>
            <w:noWrap/>
            <w:vAlign w:val="bottom"/>
            <w:hideMark/>
          </w:tcPr>
          <w:p w14:paraId="0611EE69"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3.25%</w:t>
            </w:r>
          </w:p>
        </w:tc>
        <w:tc>
          <w:tcPr>
            <w:tcW w:w="1166" w:type="dxa"/>
            <w:tcBorders>
              <w:top w:val="nil"/>
              <w:left w:val="nil"/>
              <w:bottom w:val="single" w:sz="4" w:space="0" w:color="auto"/>
              <w:right w:val="nil"/>
            </w:tcBorders>
            <w:shd w:val="clear" w:color="auto" w:fill="auto"/>
            <w:noWrap/>
            <w:vAlign w:val="bottom"/>
            <w:hideMark/>
          </w:tcPr>
          <w:p w14:paraId="78F3EBC3" w14:textId="77777777" w:rsidR="00F91378" w:rsidRPr="00E45B69" w:rsidRDefault="00F91378" w:rsidP="00E62866">
            <w:pPr>
              <w:spacing w:after="0" w:line="240" w:lineRule="auto"/>
              <w:jc w:val="right"/>
              <w:rPr>
                <w:rFonts w:eastAsia="Times New Roman"/>
                <w:color w:val="000000"/>
              </w:rPr>
            </w:pPr>
            <w:r w:rsidRPr="00E45B69">
              <w:rPr>
                <w:rFonts w:eastAsia="Times New Roman"/>
                <w:color w:val="000000"/>
              </w:rPr>
              <w:t>7.76%</w:t>
            </w:r>
          </w:p>
        </w:tc>
      </w:tr>
    </w:tbl>
    <w:p w14:paraId="1D0924C0" w14:textId="77777777" w:rsidR="00F91378" w:rsidRDefault="00F91378" w:rsidP="00E62866">
      <w:pPr>
        <w:spacing w:line="240" w:lineRule="auto"/>
        <w:jc w:val="both"/>
        <w:rPr>
          <w:b/>
        </w:rPr>
      </w:pPr>
      <w:r w:rsidRPr="002B1F80">
        <w:rPr>
          <w:b/>
        </w:rPr>
        <w:t>Source: Bank of</w:t>
      </w:r>
      <w:r>
        <w:rPr>
          <w:b/>
        </w:rPr>
        <w:t xml:space="preserve"> Kigali investor’s presentation</w:t>
      </w:r>
      <w:r w:rsidRPr="002B1F80">
        <w:rPr>
          <w:b/>
        </w:rPr>
        <w:t xml:space="preserve"> (2015)</w:t>
      </w:r>
    </w:p>
    <w:p w14:paraId="02D3A056" w14:textId="34983882" w:rsidR="00F91378" w:rsidRDefault="00586B08" w:rsidP="00E62866">
      <w:pPr>
        <w:spacing w:line="240" w:lineRule="auto"/>
        <w:jc w:val="both"/>
        <w:rPr>
          <w:rFonts w:eastAsia="Times New Roman"/>
          <w:color w:val="000000"/>
        </w:rPr>
      </w:pPr>
      <w:r>
        <w:t>Table 7</w:t>
      </w:r>
      <w:r w:rsidR="00F91378" w:rsidRPr="005F0490">
        <w:t xml:space="preserve"> contains presentation of Secondary data from bank of Kigali during from 2011 up 2015. As the research topic and objectives stated, this study focused on both internal and external variables that should affect the performance of commercial banks. This study focus on </w:t>
      </w:r>
      <w:r w:rsidR="00F91378" w:rsidRPr="005F0490">
        <w:rPr>
          <w:rFonts w:eastAsia="Times New Roman"/>
          <w:color w:val="000000"/>
        </w:rPr>
        <w:t>return on assets, return on equity, net interest margin, capital adequacy, asset quality, efficiency, liquidity, real GDP growth rate and average annual inflation rate.</w:t>
      </w:r>
    </w:p>
    <w:p w14:paraId="0BBABAC4" w14:textId="33DE5E2A" w:rsidR="00F91378" w:rsidRPr="00334043" w:rsidRDefault="00586B08" w:rsidP="00E62866">
      <w:pPr>
        <w:pStyle w:val="Caption"/>
        <w:spacing w:line="240" w:lineRule="auto"/>
        <w:rPr>
          <w:b/>
          <w:color w:val="000000"/>
        </w:rPr>
      </w:pPr>
      <w:bookmarkStart w:id="124" w:name="_Toc455605355"/>
      <w:r>
        <w:rPr>
          <w:b/>
        </w:rPr>
        <w:lastRenderedPageBreak/>
        <w:t xml:space="preserve">Table </w:t>
      </w:r>
      <w:r w:rsidR="00F91378" w:rsidRPr="00334043">
        <w:rPr>
          <w:b/>
        </w:rPr>
        <w:fldChar w:fldCharType="begin"/>
      </w:r>
      <w:r w:rsidR="00F91378" w:rsidRPr="00334043">
        <w:rPr>
          <w:b/>
        </w:rPr>
        <w:instrText xml:space="preserve"> SEQ Table \* ARABIC </w:instrText>
      </w:r>
      <w:r w:rsidR="00F91378" w:rsidRPr="00334043">
        <w:rPr>
          <w:b/>
        </w:rPr>
        <w:fldChar w:fldCharType="separate"/>
      </w:r>
      <w:r w:rsidR="00EF6959">
        <w:rPr>
          <w:b/>
          <w:noProof/>
        </w:rPr>
        <w:t>8</w:t>
      </w:r>
      <w:r w:rsidR="00F91378" w:rsidRPr="00334043">
        <w:rPr>
          <w:b/>
        </w:rPr>
        <w:fldChar w:fldCharType="end"/>
      </w:r>
      <w:r w:rsidR="00F91378" w:rsidRPr="00334043">
        <w:rPr>
          <w:b/>
        </w:rPr>
        <w:t xml:space="preserve">: </w:t>
      </w:r>
      <w:r w:rsidR="00F91378" w:rsidRPr="00BC4EC7">
        <w:t>Indicators of BK performance</w:t>
      </w:r>
      <w:bookmarkEnd w:id="124"/>
      <w:r w:rsidR="00F91378" w:rsidRPr="00334043">
        <w:rPr>
          <w:b/>
        </w:rPr>
        <w:t xml:space="preserve"> </w:t>
      </w:r>
    </w:p>
    <w:tbl>
      <w:tblPr>
        <w:tblW w:w="9126" w:type="dxa"/>
        <w:tblLook w:val="04A0" w:firstRow="1" w:lastRow="0" w:firstColumn="1" w:lastColumn="0" w:noHBand="0" w:noVBand="1"/>
      </w:tblPr>
      <w:tblGrid>
        <w:gridCol w:w="2370"/>
        <w:gridCol w:w="1126"/>
        <w:gridCol w:w="1126"/>
        <w:gridCol w:w="1126"/>
        <w:gridCol w:w="1126"/>
        <w:gridCol w:w="1126"/>
        <w:gridCol w:w="1126"/>
      </w:tblGrid>
      <w:tr w:rsidR="00F91378" w:rsidRPr="00556A18" w14:paraId="7F662F3C" w14:textId="77777777" w:rsidTr="0095337E">
        <w:trPr>
          <w:trHeight w:val="300"/>
        </w:trPr>
        <w:tc>
          <w:tcPr>
            <w:tcW w:w="2370" w:type="dxa"/>
            <w:tcBorders>
              <w:top w:val="single" w:sz="4" w:space="0" w:color="auto"/>
              <w:left w:val="nil"/>
              <w:bottom w:val="single" w:sz="4" w:space="0" w:color="auto"/>
              <w:right w:val="nil"/>
            </w:tcBorders>
            <w:shd w:val="clear" w:color="auto" w:fill="auto"/>
            <w:noWrap/>
            <w:vAlign w:val="bottom"/>
            <w:hideMark/>
          </w:tcPr>
          <w:p w14:paraId="159BBB8A"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Indicators / Year</w:t>
            </w:r>
          </w:p>
        </w:tc>
        <w:tc>
          <w:tcPr>
            <w:tcW w:w="1126" w:type="dxa"/>
            <w:tcBorders>
              <w:top w:val="single" w:sz="4" w:space="0" w:color="auto"/>
              <w:left w:val="nil"/>
              <w:bottom w:val="single" w:sz="4" w:space="0" w:color="auto"/>
              <w:right w:val="nil"/>
            </w:tcBorders>
            <w:shd w:val="clear" w:color="auto" w:fill="auto"/>
            <w:noWrap/>
            <w:vAlign w:val="bottom"/>
            <w:hideMark/>
          </w:tcPr>
          <w:p w14:paraId="1276486F"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2015</w:t>
            </w:r>
          </w:p>
        </w:tc>
        <w:tc>
          <w:tcPr>
            <w:tcW w:w="1126" w:type="dxa"/>
            <w:tcBorders>
              <w:top w:val="single" w:sz="4" w:space="0" w:color="auto"/>
              <w:left w:val="nil"/>
              <w:bottom w:val="single" w:sz="4" w:space="0" w:color="auto"/>
              <w:right w:val="nil"/>
            </w:tcBorders>
            <w:shd w:val="clear" w:color="auto" w:fill="auto"/>
            <w:noWrap/>
            <w:vAlign w:val="bottom"/>
            <w:hideMark/>
          </w:tcPr>
          <w:p w14:paraId="5EC59477"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2014</w:t>
            </w:r>
          </w:p>
        </w:tc>
        <w:tc>
          <w:tcPr>
            <w:tcW w:w="1126" w:type="dxa"/>
            <w:tcBorders>
              <w:top w:val="single" w:sz="4" w:space="0" w:color="auto"/>
              <w:left w:val="nil"/>
              <w:bottom w:val="single" w:sz="4" w:space="0" w:color="auto"/>
              <w:right w:val="nil"/>
            </w:tcBorders>
            <w:shd w:val="clear" w:color="auto" w:fill="auto"/>
            <w:noWrap/>
            <w:vAlign w:val="bottom"/>
            <w:hideMark/>
          </w:tcPr>
          <w:p w14:paraId="5CDD7C06"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2013</w:t>
            </w:r>
          </w:p>
        </w:tc>
        <w:tc>
          <w:tcPr>
            <w:tcW w:w="1126" w:type="dxa"/>
            <w:tcBorders>
              <w:top w:val="single" w:sz="4" w:space="0" w:color="auto"/>
              <w:left w:val="nil"/>
              <w:bottom w:val="single" w:sz="4" w:space="0" w:color="auto"/>
              <w:right w:val="nil"/>
            </w:tcBorders>
            <w:shd w:val="clear" w:color="auto" w:fill="auto"/>
            <w:noWrap/>
            <w:vAlign w:val="bottom"/>
            <w:hideMark/>
          </w:tcPr>
          <w:p w14:paraId="37EBCBCB"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2012</w:t>
            </w:r>
          </w:p>
        </w:tc>
        <w:tc>
          <w:tcPr>
            <w:tcW w:w="1126" w:type="dxa"/>
            <w:tcBorders>
              <w:top w:val="single" w:sz="4" w:space="0" w:color="auto"/>
              <w:left w:val="nil"/>
              <w:bottom w:val="single" w:sz="4" w:space="0" w:color="auto"/>
              <w:right w:val="nil"/>
            </w:tcBorders>
            <w:shd w:val="clear" w:color="auto" w:fill="auto"/>
            <w:noWrap/>
            <w:vAlign w:val="bottom"/>
            <w:hideMark/>
          </w:tcPr>
          <w:p w14:paraId="6BF60DE0"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2011</w:t>
            </w:r>
          </w:p>
        </w:tc>
        <w:tc>
          <w:tcPr>
            <w:tcW w:w="1126" w:type="dxa"/>
            <w:tcBorders>
              <w:top w:val="single" w:sz="4" w:space="0" w:color="auto"/>
              <w:left w:val="nil"/>
              <w:bottom w:val="single" w:sz="4" w:space="0" w:color="auto"/>
              <w:right w:val="nil"/>
            </w:tcBorders>
            <w:shd w:val="clear" w:color="auto" w:fill="auto"/>
            <w:noWrap/>
            <w:vAlign w:val="bottom"/>
            <w:hideMark/>
          </w:tcPr>
          <w:p w14:paraId="597F3020"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2010</w:t>
            </w:r>
          </w:p>
        </w:tc>
      </w:tr>
      <w:tr w:rsidR="00F91378" w:rsidRPr="00556A18" w14:paraId="41B7F72D" w14:textId="77777777" w:rsidTr="0095337E">
        <w:trPr>
          <w:trHeight w:val="300"/>
        </w:trPr>
        <w:tc>
          <w:tcPr>
            <w:tcW w:w="2370" w:type="dxa"/>
            <w:tcBorders>
              <w:top w:val="nil"/>
              <w:left w:val="nil"/>
              <w:bottom w:val="nil"/>
              <w:right w:val="nil"/>
            </w:tcBorders>
            <w:shd w:val="clear" w:color="auto" w:fill="auto"/>
            <w:noWrap/>
            <w:vAlign w:val="bottom"/>
            <w:hideMark/>
          </w:tcPr>
          <w:p w14:paraId="0E2F1B6B"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 xml:space="preserve">Total assets </w:t>
            </w:r>
          </w:p>
        </w:tc>
        <w:tc>
          <w:tcPr>
            <w:tcW w:w="1126" w:type="dxa"/>
            <w:tcBorders>
              <w:top w:val="nil"/>
              <w:left w:val="nil"/>
              <w:bottom w:val="nil"/>
              <w:right w:val="nil"/>
            </w:tcBorders>
            <w:shd w:val="clear" w:color="auto" w:fill="auto"/>
            <w:noWrap/>
            <w:vAlign w:val="bottom"/>
            <w:hideMark/>
          </w:tcPr>
          <w:p w14:paraId="403B8CD9"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561.2</w:t>
            </w:r>
          </w:p>
        </w:tc>
        <w:tc>
          <w:tcPr>
            <w:tcW w:w="1126" w:type="dxa"/>
            <w:tcBorders>
              <w:top w:val="nil"/>
              <w:left w:val="nil"/>
              <w:bottom w:val="nil"/>
              <w:right w:val="nil"/>
            </w:tcBorders>
            <w:shd w:val="clear" w:color="auto" w:fill="auto"/>
            <w:noWrap/>
            <w:vAlign w:val="bottom"/>
            <w:hideMark/>
          </w:tcPr>
          <w:p w14:paraId="4797246B"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482.6</w:t>
            </w:r>
          </w:p>
        </w:tc>
        <w:tc>
          <w:tcPr>
            <w:tcW w:w="1126" w:type="dxa"/>
            <w:tcBorders>
              <w:top w:val="nil"/>
              <w:left w:val="nil"/>
              <w:bottom w:val="nil"/>
              <w:right w:val="nil"/>
            </w:tcBorders>
            <w:shd w:val="clear" w:color="auto" w:fill="auto"/>
            <w:noWrap/>
            <w:vAlign w:val="bottom"/>
            <w:hideMark/>
          </w:tcPr>
          <w:p w14:paraId="0C5CF092"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422.4</w:t>
            </w:r>
          </w:p>
        </w:tc>
        <w:tc>
          <w:tcPr>
            <w:tcW w:w="1126" w:type="dxa"/>
            <w:tcBorders>
              <w:top w:val="nil"/>
              <w:left w:val="nil"/>
              <w:bottom w:val="nil"/>
              <w:right w:val="nil"/>
            </w:tcBorders>
            <w:shd w:val="clear" w:color="auto" w:fill="auto"/>
            <w:noWrap/>
            <w:vAlign w:val="bottom"/>
            <w:hideMark/>
          </w:tcPr>
          <w:p w14:paraId="6485C064"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322.8</w:t>
            </w:r>
          </w:p>
        </w:tc>
        <w:tc>
          <w:tcPr>
            <w:tcW w:w="1126" w:type="dxa"/>
            <w:tcBorders>
              <w:top w:val="nil"/>
              <w:left w:val="nil"/>
              <w:bottom w:val="nil"/>
              <w:right w:val="nil"/>
            </w:tcBorders>
            <w:shd w:val="clear" w:color="auto" w:fill="auto"/>
            <w:noWrap/>
            <w:vAlign w:val="bottom"/>
            <w:hideMark/>
          </w:tcPr>
          <w:p w14:paraId="7A32B4BC"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287.9</w:t>
            </w:r>
          </w:p>
        </w:tc>
        <w:tc>
          <w:tcPr>
            <w:tcW w:w="1126" w:type="dxa"/>
            <w:tcBorders>
              <w:top w:val="nil"/>
              <w:left w:val="nil"/>
              <w:bottom w:val="nil"/>
              <w:right w:val="nil"/>
            </w:tcBorders>
            <w:shd w:val="clear" w:color="auto" w:fill="auto"/>
            <w:noWrap/>
            <w:vAlign w:val="bottom"/>
            <w:hideMark/>
          </w:tcPr>
          <w:p w14:paraId="064C8C88"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197.7</w:t>
            </w:r>
          </w:p>
        </w:tc>
      </w:tr>
      <w:tr w:rsidR="00F91378" w:rsidRPr="00556A18" w14:paraId="11055994" w14:textId="77777777" w:rsidTr="0095337E">
        <w:trPr>
          <w:trHeight w:val="300"/>
        </w:trPr>
        <w:tc>
          <w:tcPr>
            <w:tcW w:w="2370" w:type="dxa"/>
            <w:tcBorders>
              <w:top w:val="nil"/>
              <w:left w:val="nil"/>
              <w:bottom w:val="nil"/>
              <w:right w:val="nil"/>
            </w:tcBorders>
            <w:shd w:val="clear" w:color="auto" w:fill="auto"/>
            <w:noWrap/>
            <w:vAlign w:val="bottom"/>
            <w:hideMark/>
          </w:tcPr>
          <w:p w14:paraId="499254E9"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Gross loans</w:t>
            </w:r>
          </w:p>
        </w:tc>
        <w:tc>
          <w:tcPr>
            <w:tcW w:w="1126" w:type="dxa"/>
            <w:tcBorders>
              <w:top w:val="nil"/>
              <w:left w:val="nil"/>
              <w:bottom w:val="nil"/>
              <w:right w:val="nil"/>
            </w:tcBorders>
            <w:shd w:val="clear" w:color="auto" w:fill="auto"/>
            <w:noWrap/>
            <w:vAlign w:val="bottom"/>
            <w:hideMark/>
          </w:tcPr>
          <w:p w14:paraId="0DD04723"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324.8</w:t>
            </w:r>
          </w:p>
        </w:tc>
        <w:tc>
          <w:tcPr>
            <w:tcW w:w="1126" w:type="dxa"/>
            <w:tcBorders>
              <w:top w:val="nil"/>
              <w:left w:val="nil"/>
              <w:bottom w:val="nil"/>
              <w:right w:val="nil"/>
            </w:tcBorders>
            <w:shd w:val="clear" w:color="auto" w:fill="auto"/>
            <w:noWrap/>
            <w:vAlign w:val="bottom"/>
            <w:hideMark/>
          </w:tcPr>
          <w:p w14:paraId="0A45D10D"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246.7</w:t>
            </w:r>
          </w:p>
        </w:tc>
        <w:tc>
          <w:tcPr>
            <w:tcW w:w="1126" w:type="dxa"/>
            <w:tcBorders>
              <w:top w:val="nil"/>
              <w:left w:val="nil"/>
              <w:bottom w:val="nil"/>
              <w:right w:val="nil"/>
            </w:tcBorders>
            <w:shd w:val="clear" w:color="auto" w:fill="auto"/>
            <w:noWrap/>
            <w:vAlign w:val="bottom"/>
            <w:hideMark/>
          </w:tcPr>
          <w:p w14:paraId="33719034"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211.9</w:t>
            </w:r>
          </w:p>
        </w:tc>
        <w:tc>
          <w:tcPr>
            <w:tcW w:w="1126" w:type="dxa"/>
            <w:tcBorders>
              <w:top w:val="nil"/>
              <w:left w:val="nil"/>
              <w:bottom w:val="nil"/>
              <w:right w:val="nil"/>
            </w:tcBorders>
            <w:shd w:val="clear" w:color="auto" w:fill="auto"/>
            <w:noWrap/>
            <w:vAlign w:val="bottom"/>
            <w:hideMark/>
          </w:tcPr>
          <w:p w14:paraId="26B5E260"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194</w:t>
            </w:r>
          </w:p>
        </w:tc>
        <w:tc>
          <w:tcPr>
            <w:tcW w:w="1126" w:type="dxa"/>
            <w:tcBorders>
              <w:top w:val="nil"/>
              <w:left w:val="nil"/>
              <w:bottom w:val="nil"/>
              <w:right w:val="nil"/>
            </w:tcBorders>
            <w:shd w:val="clear" w:color="auto" w:fill="auto"/>
            <w:noWrap/>
            <w:vAlign w:val="bottom"/>
            <w:hideMark/>
          </w:tcPr>
          <w:p w14:paraId="2ABA3B4B"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130.7</w:t>
            </w:r>
          </w:p>
        </w:tc>
        <w:tc>
          <w:tcPr>
            <w:tcW w:w="1126" w:type="dxa"/>
            <w:tcBorders>
              <w:top w:val="nil"/>
              <w:left w:val="nil"/>
              <w:bottom w:val="nil"/>
              <w:right w:val="nil"/>
            </w:tcBorders>
            <w:shd w:val="clear" w:color="auto" w:fill="auto"/>
            <w:noWrap/>
            <w:vAlign w:val="bottom"/>
            <w:hideMark/>
          </w:tcPr>
          <w:p w14:paraId="45816B7C"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105.5</w:t>
            </w:r>
          </w:p>
        </w:tc>
      </w:tr>
      <w:tr w:rsidR="00F91378" w:rsidRPr="00556A18" w14:paraId="059F50A7" w14:textId="77777777" w:rsidTr="0095337E">
        <w:trPr>
          <w:trHeight w:val="300"/>
        </w:trPr>
        <w:tc>
          <w:tcPr>
            <w:tcW w:w="2370" w:type="dxa"/>
            <w:tcBorders>
              <w:top w:val="nil"/>
              <w:left w:val="nil"/>
              <w:bottom w:val="nil"/>
              <w:right w:val="nil"/>
            </w:tcBorders>
            <w:shd w:val="clear" w:color="auto" w:fill="auto"/>
            <w:noWrap/>
            <w:vAlign w:val="bottom"/>
            <w:hideMark/>
          </w:tcPr>
          <w:p w14:paraId="154A3AF7"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Customer deposit</w:t>
            </w:r>
          </w:p>
        </w:tc>
        <w:tc>
          <w:tcPr>
            <w:tcW w:w="1126" w:type="dxa"/>
            <w:tcBorders>
              <w:top w:val="nil"/>
              <w:left w:val="nil"/>
              <w:bottom w:val="nil"/>
              <w:right w:val="nil"/>
            </w:tcBorders>
            <w:shd w:val="clear" w:color="auto" w:fill="auto"/>
            <w:noWrap/>
            <w:vAlign w:val="bottom"/>
            <w:hideMark/>
          </w:tcPr>
          <w:p w14:paraId="5BC4D20C"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384.7</w:t>
            </w:r>
          </w:p>
        </w:tc>
        <w:tc>
          <w:tcPr>
            <w:tcW w:w="1126" w:type="dxa"/>
            <w:tcBorders>
              <w:top w:val="nil"/>
              <w:left w:val="nil"/>
              <w:bottom w:val="nil"/>
              <w:right w:val="nil"/>
            </w:tcBorders>
            <w:shd w:val="clear" w:color="auto" w:fill="auto"/>
            <w:noWrap/>
            <w:vAlign w:val="bottom"/>
            <w:hideMark/>
          </w:tcPr>
          <w:p w14:paraId="28BAF8AB"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324.6</w:t>
            </w:r>
          </w:p>
        </w:tc>
        <w:tc>
          <w:tcPr>
            <w:tcW w:w="1126" w:type="dxa"/>
            <w:tcBorders>
              <w:top w:val="nil"/>
              <w:left w:val="nil"/>
              <w:bottom w:val="nil"/>
              <w:right w:val="nil"/>
            </w:tcBorders>
            <w:shd w:val="clear" w:color="auto" w:fill="auto"/>
            <w:noWrap/>
            <w:vAlign w:val="bottom"/>
            <w:hideMark/>
          </w:tcPr>
          <w:p w14:paraId="27E27796"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280.5</w:t>
            </w:r>
          </w:p>
        </w:tc>
        <w:tc>
          <w:tcPr>
            <w:tcW w:w="1126" w:type="dxa"/>
            <w:tcBorders>
              <w:top w:val="nil"/>
              <w:left w:val="nil"/>
              <w:bottom w:val="nil"/>
              <w:right w:val="nil"/>
            </w:tcBorders>
            <w:shd w:val="clear" w:color="auto" w:fill="auto"/>
            <w:noWrap/>
            <w:vAlign w:val="bottom"/>
            <w:hideMark/>
          </w:tcPr>
          <w:p w14:paraId="36128990"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211.9</w:t>
            </w:r>
          </w:p>
        </w:tc>
        <w:tc>
          <w:tcPr>
            <w:tcW w:w="1126" w:type="dxa"/>
            <w:tcBorders>
              <w:top w:val="nil"/>
              <w:left w:val="nil"/>
              <w:bottom w:val="nil"/>
              <w:right w:val="nil"/>
            </w:tcBorders>
            <w:shd w:val="clear" w:color="auto" w:fill="auto"/>
            <w:noWrap/>
            <w:vAlign w:val="bottom"/>
            <w:hideMark/>
          </w:tcPr>
          <w:p w14:paraId="00342B83"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181</w:t>
            </w:r>
          </w:p>
        </w:tc>
        <w:tc>
          <w:tcPr>
            <w:tcW w:w="1126" w:type="dxa"/>
            <w:tcBorders>
              <w:top w:val="nil"/>
              <w:left w:val="nil"/>
              <w:bottom w:val="nil"/>
              <w:right w:val="nil"/>
            </w:tcBorders>
            <w:shd w:val="clear" w:color="auto" w:fill="auto"/>
            <w:noWrap/>
            <w:vAlign w:val="bottom"/>
            <w:hideMark/>
          </w:tcPr>
          <w:p w14:paraId="6C75FE07"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135.7</w:t>
            </w:r>
          </w:p>
        </w:tc>
      </w:tr>
      <w:tr w:rsidR="00F91378" w:rsidRPr="00556A18" w14:paraId="371E3271" w14:textId="77777777" w:rsidTr="0095337E">
        <w:trPr>
          <w:trHeight w:val="300"/>
        </w:trPr>
        <w:tc>
          <w:tcPr>
            <w:tcW w:w="2370" w:type="dxa"/>
            <w:tcBorders>
              <w:top w:val="nil"/>
              <w:left w:val="nil"/>
              <w:bottom w:val="nil"/>
              <w:right w:val="nil"/>
            </w:tcBorders>
            <w:shd w:val="clear" w:color="auto" w:fill="auto"/>
            <w:noWrap/>
            <w:vAlign w:val="bottom"/>
            <w:hideMark/>
          </w:tcPr>
          <w:p w14:paraId="4BE5CD24"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Shareholders’ equity</w:t>
            </w:r>
          </w:p>
        </w:tc>
        <w:tc>
          <w:tcPr>
            <w:tcW w:w="1126" w:type="dxa"/>
            <w:tcBorders>
              <w:top w:val="nil"/>
              <w:left w:val="nil"/>
              <w:bottom w:val="nil"/>
              <w:right w:val="nil"/>
            </w:tcBorders>
            <w:shd w:val="clear" w:color="auto" w:fill="auto"/>
            <w:noWrap/>
            <w:vAlign w:val="bottom"/>
            <w:hideMark/>
          </w:tcPr>
          <w:p w14:paraId="49FBB9F1"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99.2</w:t>
            </w:r>
          </w:p>
        </w:tc>
        <w:tc>
          <w:tcPr>
            <w:tcW w:w="1126" w:type="dxa"/>
            <w:tcBorders>
              <w:top w:val="nil"/>
              <w:left w:val="nil"/>
              <w:bottom w:val="nil"/>
              <w:right w:val="nil"/>
            </w:tcBorders>
            <w:shd w:val="clear" w:color="auto" w:fill="auto"/>
            <w:noWrap/>
            <w:vAlign w:val="bottom"/>
            <w:hideMark/>
          </w:tcPr>
          <w:p w14:paraId="5919208D"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89.5</w:t>
            </w:r>
          </w:p>
        </w:tc>
        <w:tc>
          <w:tcPr>
            <w:tcW w:w="1126" w:type="dxa"/>
            <w:tcBorders>
              <w:top w:val="nil"/>
              <w:left w:val="nil"/>
              <w:bottom w:val="nil"/>
              <w:right w:val="nil"/>
            </w:tcBorders>
            <w:shd w:val="clear" w:color="auto" w:fill="auto"/>
            <w:noWrap/>
            <w:vAlign w:val="bottom"/>
            <w:hideMark/>
          </w:tcPr>
          <w:p w14:paraId="34029E6F"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70.8</w:t>
            </w:r>
          </w:p>
        </w:tc>
        <w:tc>
          <w:tcPr>
            <w:tcW w:w="1126" w:type="dxa"/>
            <w:tcBorders>
              <w:top w:val="nil"/>
              <w:left w:val="nil"/>
              <w:bottom w:val="nil"/>
              <w:right w:val="nil"/>
            </w:tcBorders>
            <w:shd w:val="clear" w:color="auto" w:fill="auto"/>
            <w:noWrap/>
            <w:vAlign w:val="bottom"/>
            <w:hideMark/>
          </w:tcPr>
          <w:p w14:paraId="6384E0AA"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63.1</w:t>
            </w:r>
          </w:p>
        </w:tc>
        <w:tc>
          <w:tcPr>
            <w:tcW w:w="1126" w:type="dxa"/>
            <w:tcBorders>
              <w:top w:val="nil"/>
              <w:left w:val="nil"/>
              <w:bottom w:val="nil"/>
              <w:right w:val="nil"/>
            </w:tcBorders>
            <w:shd w:val="clear" w:color="auto" w:fill="auto"/>
            <w:noWrap/>
            <w:vAlign w:val="bottom"/>
            <w:hideMark/>
          </w:tcPr>
          <w:p w14:paraId="7BABB983"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61.6</w:t>
            </w:r>
          </w:p>
        </w:tc>
        <w:tc>
          <w:tcPr>
            <w:tcW w:w="1126" w:type="dxa"/>
            <w:tcBorders>
              <w:top w:val="nil"/>
              <w:left w:val="nil"/>
              <w:bottom w:val="nil"/>
              <w:right w:val="nil"/>
            </w:tcBorders>
            <w:shd w:val="clear" w:color="auto" w:fill="auto"/>
            <w:noWrap/>
            <w:vAlign w:val="bottom"/>
            <w:hideMark/>
          </w:tcPr>
          <w:p w14:paraId="05F8DC0A"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31.9</w:t>
            </w:r>
          </w:p>
        </w:tc>
      </w:tr>
      <w:tr w:rsidR="00F91378" w:rsidRPr="00556A18" w14:paraId="44978CE0" w14:textId="77777777" w:rsidTr="0095337E">
        <w:trPr>
          <w:trHeight w:val="300"/>
        </w:trPr>
        <w:tc>
          <w:tcPr>
            <w:tcW w:w="2370" w:type="dxa"/>
            <w:tcBorders>
              <w:top w:val="nil"/>
              <w:left w:val="nil"/>
              <w:bottom w:val="nil"/>
              <w:right w:val="nil"/>
            </w:tcBorders>
            <w:shd w:val="clear" w:color="auto" w:fill="auto"/>
            <w:noWrap/>
            <w:vAlign w:val="bottom"/>
            <w:hideMark/>
          </w:tcPr>
          <w:p w14:paraId="1C81E57B"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 xml:space="preserve">Net interest income </w:t>
            </w:r>
          </w:p>
        </w:tc>
        <w:tc>
          <w:tcPr>
            <w:tcW w:w="1126" w:type="dxa"/>
            <w:tcBorders>
              <w:top w:val="nil"/>
              <w:left w:val="nil"/>
              <w:bottom w:val="nil"/>
              <w:right w:val="nil"/>
            </w:tcBorders>
            <w:shd w:val="clear" w:color="auto" w:fill="auto"/>
            <w:noWrap/>
            <w:vAlign w:val="bottom"/>
            <w:hideMark/>
          </w:tcPr>
          <w:p w14:paraId="3E4D5DA6"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46.2</w:t>
            </w:r>
          </w:p>
        </w:tc>
        <w:tc>
          <w:tcPr>
            <w:tcW w:w="1126" w:type="dxa"/>
            <w:tcBorders>
              <w:top w:val="nil"/>
              <w:left w:val="nil"/>
              <w:bottom w:val="nil"/>
              <w:right w:val="nil"/>
            </w:tcBorders>
            <w:shd w:val="clear" w:color="auto" w:fill="auto"/>
            <w:noWrap/>
            <w:vAlign w:val="bottom"/>
            <w:hideMark/>
          </w:tcPr>
          <w:p w14:paraId="390E8B76"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39.3</w:t>
            </w:r>
          </w:p>
        </w:tc>
        <w:tc>
          <w:tcPr>
            <w:tcW w:w="1126" w:type="dxa"/>
            <w:tcBorders>
              <w:top w:val="nil"/>
              <w:left w:val="nil"/>
              <w:bottom w:val="nil"/>
              <w:right w:val="nil"/>
            </w:tcBorders>
            <w:shd w:val="clear" w:color="auto" w:fill="auto"/>
            <w:noWrap/>
            <w:vAlign w:val="bottom"/>
            <w:hideMark/>
          </w:tcPr>
          <w:p w14:paraId="7E0905C1"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35.2</w:t>
            </w:r>
          </w:p>
        </w:tc>
        <w:tc>
          <w:tcPr>
            <w:tcW w:w="1126" w:type="dxa"/>
            <w:tcBorders>
              <w:top w:val="nil"/>
              <w:left w:val="nil"/>
              <w:bottom w:val="nil"/>
              <w:right w:val="nil"/>
            </w:tcBorders>
            <w:shd w:val="clear" w:color="auto" w:fill="auto"/>
            <w:noWrap/>
            <w:vAlign w:val="bottom"/>
            <w:hideMark/>
          </w:tcPr>
          <w:p w14:paraId="3B2EBFCA"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23.7</w:t>
            </w:r>
          </w:p>
        </w:tc>
        <w:tc>
          <w:tcPr>
            <w:tcW w:w="1126" w:type="dxa"/>
            <w:tcBorders>
              <w:top w:val="nil"/>
              <w:left w:val="nil"/>
              <w:bottom w:val="nil"/>
              <w:right w:val="nil"/>
            </w:tcBorders>
            <w:shd w:val="clear" w:color="auto" w:fill="auto"/>
            <w:noWrap/>
            <w:vAlign w:val="bottom"/>
            <w:hideMark/>
          </w:tcPr>
          <w:p w14:paraId="0B8079D5"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16.6</w:t>
            </w:r>
          </w:p>
        </w:tc>
        <w:tc>
          <w:tcPr>
            <w:tcW w:w="1126" w:type="dxa"/>
            <w:tcBorders>
              <w:top w:val="nil"/>
              <w:left w:val="nil"/>
              <w:bottom w:val="nil"/>
              <w:right w:val="nil"/>
            </w:tcBorders>
            <w:shd w:val="clear" w:color="auto" w:fill="auto"/>
            <w:noWrap/>
            <w:vAlign w:val="bottom"/>
            <w:hideMark/>
          </w:tcPr>
          <w:p w14:paraId="5ACEA4DD"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11.7</w:t>
            </w:r>
          </w:p>
        </w:tc>
      </w:tr>
      <w:tr w:rsidR="00F91378" w:rsidRPr="00556A18" w14:paraId="7A55DE86" w14:textId="77777777" w:rsidTr="0095337E">
        <w:trPr>
          <w:trHeight w:val="300"/>
        </w:trPr>
        <w:tc>
          <w:tcPr>
            <w:tcW w:w="2370" w:type="dxa"/>
            <w:tcBorders>
              <w:top w:val="nil"/>
              <w:left w:val="nil"/>
              <w:bottom w:val="single" w:sz="4" w:space="0" w:color="auto"/>
              <w:right w:val="nil"/>
            </w:tcBorders>
            <w:shd w:val="clear" w:color="auto" w:fill="auto"/>
            <w:noWrap/>
            <w:vAlign w:val="bottom"/>
            <w:hideMark/>
          </w:tcPr>
          <w:p w14:paraId="05043802" w14:textId="77777777" w:rsidR="00F91378" w:rsidRPr="00556A18" w:rsidRDefault="00F91378" w:rsidP="00E62866">
            <w:pPr>
              <w:spacing w:after="0" w:line="240" w:lineRule="auto"/>
              <w:rPr>
                <w:rFonts w:eastAsia="Times New Roman"/>
                <w:color w:val="000000"/>
              </w:rPr>
            </w:pPr>
            <w:r w:rsidRPr="00556A18">
              <w:rPr>
                <w:rFonts w:eastAsia="Times New Roman"/>
                <w:color w:val="000000"/>
              </w:rPr>
              <w:t>Net profit</w:t>
            </w:r>
          </w:p>
        </w:tc>
        <w:tc>
          <w:tcPr>
            <w:tcW w:w="1126" w:type="dxa"/>
            <w:tcBorders>
              <w:top w:val="nil"/>
              <w:left w:val="nil"/>
              <w:bottom w:val="single" w:sz="4" w:space="0" w:color="auto"/>
              <w:right w:val="nil"/>
            </w:tcBorders>
            <w:shd w:val="clear" w:color="auto" w:fill="auto"/>
            <w:noWrap/>
            <w:vAlign w:val="bottom"/>
            <w:hideMark/>
          </w:tcPr>
          <w:p w14:paraId="0DE554E9"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20.5</w:t>
            </w:r>
          </w:p>
        </w:tc>
        <w:tc>
          <w:tcPr>
            <w:tcW w:w="1126" w:type="dxa"/>
            <w:tcBorders>
              <w:top w:val="nil"/>
              <w:left w:val="nil"/>
              <w:bottom w:val="single" w:sz="4" w:space="0" w:color="auto"/>
              <w:right w:val="nil"/>
            </w:tcBorders>
            <w:shd w:val="clear" w:color="auto" w:fill="auto"/>
            <w:noWrap/>
            <w:vAlign w:val="bottom"/>
            <w:hideMark/>
          </w:tcPr>
          <w:p w14:paraId="31F71A41"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18.3</w:t>
            </w:r>
          </w:p>
        </w:tc>
        <w:tc>
          <w:tcPr>
            <w:tcW w:w="1126" w:type="dxa"/>
            <w:tcBorders>
              <w:top w:val="nil"/>
              <w:left w:val="nil"/>
              <w:bottom w:val="single" w:sz="4" w:space="0" w:color="auto"/>
              <w:right w:val="nil"/>
            </w:tcBorders>
            <w:shd w:val="clear" w:color="auto" w:fill="auto"/>
            <w:noWrap/>
            <w:vAlign w:val="bottom"/>
            <w:hideMark/>
          </w:tcPr>
          <w:p w14:paraId="6FB6FE83"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14.8</w:t>
            </w:r>
          </w:p>
        </w:tc>
        <w:tc>
          <w:tcPr>
            <w:tcW w:w="1126" w:type="dxa"/>
            <w:tcBorders>
              <w:top w:val="nil"/>
              <w:left w:val="nil"/>
              <w:bottom w:val="single" w:sz="4" w:space="0" w:color="auto"/>
              <w:right w:val="nil"/>
            </w:tcBorders>
            <w:shd w:val="clear" w:color="auto" w:fill="auto"/>
            <w:noWrap/>
            <w:vAlign w:val="bottom"/>
            <w:hideMark/>
          </w:tcPr>
          <w:p w14:paraId="5A4ECBB1"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11.8</w:t>
            </w:r>
          </w:p>
        </w:tc>
        <w:tc>
          <w:tcPr>
            <w:tcW w:w="1126" w:type="dxa"/>
            <w:tcBorders>
              <w:top w:val="nil"/>
              <w:left w:val="nil"/>
              <w:bottom w:val="single" w:sz="4" w:space="0" w:color="auto"/>
              <w:right w:val="nil"/>
            </w:tcBorders>
            <w:shd w:val="clear" w:color="auto" w:fill="auto"/>
            <w:noWrap/>
            <w:vAlign w:val="bottom"/>
            <w:hideMark/>
          </w:tcPr>
          <w:p w14:paraId="1BE938EB"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8.7</w:t>
            </w:r>
          </w:p>
        </w:tc>
        <w:tc>
          <w:tcPr>
            <w:tcW w:w="1126" w:type="dxa"/>
            <w:tcBorders>
              <w:top w:val="nil"/>
              <w:left w:val="nil"/>
              <w:bottom w:val="single" w:sz="4" w:space="0" w:color="auto"/>
              <w:right w:val="nil"/>
            </w:tcBorders>
            <w:shd w:val="clear" w:color="auto" w:fill="auto"/>
            <w:noWrap/>
            <w:vAlign w:val="bottom"/>
            <w:hideMark/>
          </w:tcPr>
          <w:p w14:paraId="5D394D43" w14:textId="77777777" w:rsidR="00F91378" w:rsidRPr="00556A18" w:rsidRDefault="00F91378" w:rsidP="00E62866">
            <w:pPr>
              <w:spacing w:after="0" w:line="240" w:lineRule="auto"/>
              <w:jc w:val="right"/>
              <w:rPr>
                <w:rFonts w:eastAsia="Times New Roman"/>
                <w:color w:val="000000"/>
              </w:rPr>
            </w:pPr>
            <w:r w:rsidRPr="00556A18">
              <w:rPr>
                <w:rFonts w:eastAsia="Times New Roman"/>
                <w:color w:val="000000"/>
              </w:rPr>
              <w:t>6.2</w:t>
            </w:r>
          </w:p>
        </w:tc>
      </w:tr>
    </w:tbl>
    <w:p w14:paraId="4B46BD0E" w14:textId="77777777" w:rsidR="00F91378" w:rsidRDefault="00F91378" w:rsidP="00E62866">
      <w:pPr>
        <w:spacing w:line="240" w:lineRule="auto"/>
        <w:jc w:val="both"/>
        <w:rPr>
          <w:b/>
        </w:rPr>
      </w:pPr>
      <w:r w:rsidRPr="002B1F80">
        <w:rPr>
          <w:b/>
        </w:rPr>
        <w:t>Source: Bank of</w:t>
      </w:r>
      <w:r>
        <w:rPr>
          <w:b/>
        </w:rPr>
        <w:t xml:space="preserve"> Kigali </w:t>
      </w:r>
      <w:r w:rsidRPr="002B1F80">
        <w:rPr>
          <w:b/>
        </w:rPr>
        <w:t>(2015)</w:t>
      </w:r>
    </w:p>
    <w:p w14:paraId="1E571F3E" w14:textId="4D75A74A" w:rsidR="0053388E" w:rsidRDefault="00586B08" w:rsidP="00E62866">
      <w:pPr>
        <w:spacing w:line="240" w:lineRule="auto"/>
        <w:jc w:val="both"/>
      </w:pPr>
      <w:r>
        <w:t>Findings in Table 8</w:t>
      </w:r>
      <w:r w:rsidR="00F91378">
        <w:t xml:space="preserve"> indicates that b</w:t>
      </w:r>
      <w:r w:rsidR="00F91378" w:rsidRPr="00D200BE">
        <w:t xml:space="preserve">ank’s sustained strong performance has elevated the BK brand in the Rwandan. This has been achieved by delivering </w:t>
      </w:r>
      <w:r w:rsidR="00F91378">
        <w:t xml:space="preserve">above average performance to BK </w:t>
      </w:r>
      <w:r w:rsidR="00F91378" w:rsidRPr="00D200BE">
        <w:t>stakeholders</w:t>
      </w:r>
      <w:r w:rsidR="00F91378">
        <w:t xml:space="preserve"> who include the customers, the </w:t>
      </w:r>
      <w:r w:rsidR="00F91378" w:rsidRPr="00D200BE">
        <w:t>shareholders, staff and the community.</w:t>
      </w:r>
      <w:r w:rsidR="00F91378">
        <w:t xml:space="preserve"> The Bank’s profit after tax </w:t>
      </w:r>
      <w:r w:rsidR="00F91378" w:rsidRPr="00D200BE">
        <w:t xml:space="preserve">increased to </w:t>
      </w:r>
      <w:proofErr w:type="spellStart"/>
      <w:r w:rsidR="00F91378" w:rsidRPr="00D200BE">
        <w:t>FRw</w:t>
      </w:r>
      <w:proofErr w:type="spellEnd"/>
      <w:r w:rsidR="00F91378" w:rsidRPr="00D200BE">
        <w:t xml:space="preserve"> 20.5 billion</w:t>
      </w:r>
      <w:r w:rsidR="00F91378">
        <w:t xml:space="preserve"> from </w:t>
      </w:r>
      <w:proofErr w:type="spellStart"/>
      <w:r w:rsidR="00F91378">
        <w:t>FRw</w:t>
      </w:r>
      <w:proofErr w:type="spellEnd"/>
      <w:r w:rsidR="00F91378">
        <w:t xml:space="preserve"> 18.3 billion in 2014, </w:t>
      </w:r>
      <w:r w:rsidR="00F91378" w:rsidRPr="00D200BE">
        <w:t>reflecting a Return on Average Equity of 21.7%. The Bank’s total assets also rose to</w:t>
      </w:r>
      <w:r w:rsidR="00F91378">
        <w:t xml:space="preserve"> </w:t>
      </w:r>
      <w:proofErr w:type="spellStart"/>
      <w:r w:rsidR="00F91378" w:rsidRPr="00D200BE">
        <w:t>FRw</w:t>
      </w:r>
      <w:proofErr w:type="spellEnd"/>
      <w:r w:rsidR="00F91378" w:rsidRPr="00D200BE">
        <w:t xml:space="preserve"> 561.2 billion from </w:t>
      </w:r>
      <w:proofErr w:type="spellStart"/>
      <w:r w:rsidR="00F91378" w:rsidRPr="00D200BE">
        <w:t>FRw</w:t>
      </w:r>
      <w:proofErr w:type="spellEnd"/>
      <w:r w:rsidR="00F91378" w:rsidRPr="00D200BE">
        <w:t xml:space="preserve"> 482.6 billion, represe</w:t>
      </w:r>
      <w:r w:rsidR="00F91378">
        <w:t xml:space="preserve">nting a growth of 16.3% year on </w:t>
      </w:r>
      <w:r w:rsidR="00F91378" w:rsidRPr="00D200BE">
        <w:t>year. This growth resulted from the continued in</w:t>
      </w:r>
      <w:r w:rsidR="00F91378">
        <w:t xml:space="preserve">vestment distribution channels, </w:t>
      </w:r>
      <w:r w:rsidR="00F91378" w:rsidRPr="00D200BE">
        <w:t>strong liquidity position and strong credit book growth. 2015 was a highly successful year for the Bank and</w:t>
      </w:r>
      <w:r w:rsidR="00F91378">
        <w:t xml:space="preserve"> for our shareholders. The Bank </w:t>
      </w:r>
      <w:r w:rsidR="00F91378" w:rsidRPr="00D200BE">
        <w:t>continues to enjoy impressive and sustainabl</w:t>
      </w:r>
      <w:r w:rsidR="00F91378">
        <w:t xml:space="preserve">e growth. Financial performance </w:t>
      </w:r>
      <w:r w:rsidR="00F91378" w:rsidRPr="00D200BE">
        <w:t xml:space="preserve">showed a strong </w:t>
      </w:r>
      <w:r w:rsidR="00F91378">
        <w:t xml:space="preserve">net income of </w:t>
      </w:r>
      <w:proofErr w:type="spellStart"/>
      <w:r w:rsidR="00F91378">
        <w:t>FRw</w:t>
      </w:r>
      <w:proofErr w:type="spellEnd"/>
      <w:r w:rsidR="00F91378">
        <w:t xml:space="preserve"> 20.5 billion, </w:t>
      </w:r>
      <w:r w:rsidR="00F91378" w:rsidRPr="00D200BE">
        <w:t>an increas</w:t>
      </w:r>
      <w:r w:rsidR="00F91378">
        <w:t>e of 11.8% over the previous year. The</w:t>
      </w:r>
      <w:r w:rsidR="00F91378" w:rsidRPr="00D200BE">
        <w:t xml:space="preserve"> total assets grew by 16.3% yea</w:t>
      </w:r>
      <w:r w:rsidR="00F91378">
        <w:t xml:space="preserve">r on year and our shareholders’ </w:t>
      </w:r>
      <w:r w:rsidR="00F91378" w:rsidRPr="00D200BE">
        <w:t>equity grew by 10.8%</w:t>
      </w:r>
      <w:r w:rsidR="00F91378">
        <w:t xml:space="preserve"> since the prior year 2014. The high profitability remained </w:t>
      </w:r>
      <w:r w:rsidR="00F91378" w:rsidRPr="00D200BE">
        <w:t>intact, with ROAA and ROAE of 3.9% and 21.7%, respectively.</w:t>
      </w:r>
    </w:p>
    <w:p w14:paraId="1A1036AA" w14:textId="359FB067" w:rsidR="001D6D65" w:rsidRDefault="0053388E" w:rsidP="00E62866">
      <w:pPr>
        <w:autoSpaceDE w:val="0"/>
        <w:autoSpaceDN w:val="0"/>
        <w:adjustRightInd w:val="0"/>
        <w:spacing w:after="0" w:line="240" w:lineRule="auto"/>
        <w:jc w:val="both"/>
      </w:pPr>
      <w:r>
        <w:t xml:space="preserve">Most studies conducted in relation to bank performances focused on sector-specific factors and external economic factors indicated that, GDP growth rate and inflation are the best external determinants that affect the overall banking sector performances, this study agreed with them according to the findings of this research. Although empirical studies did not indicate the highest influence of internal factors, this study found that both internal and external factors should affect the profitability of commercial banks depends on the management of the bank. There is a need to include all economic factors during prediction. Thus, this study has incorporated key macroeconomic variables in the analysis. </w:t>
      </w:r>
    </w:p>
    <w:p w14:paraId="27D7C2B2" w14:textId="6815966F" w:rsidR="000E0E30" w:rsidRDefault="00BC4EC7" w:rsidP="00E62866">
      <w:pPr>
        <w:pStyle w:val="Heading2"/>
        <w:spacing w:before="100" w:beforeAutospacing="1" w:after="100" w:afterAutospacing="1" w:line="240" w:lineRule="auto"/>
        <w:ind w:left="576" w:hanging="576"/>
        <w:contextualSpacing/>
        <w:rPr>
          <w:rFonts w:ascii="Times New Roman" w:hAnsi="Times New Roman" w:cs="Times New Roman"/>
          <w:i w:val="0"/>
          <w:sz w:val="24"/>
          <w:szCs w:val="24"/>
        </w:rPr>
      </w:pPr>
      <w:bookmarkStart w:id="125" w:name="_Toc403118062"/>
      <w:bookmarkStart w:id="126" w:name="_Toc405999586"/>
      <w:bookmarkStart w:id="127" w:name="_Toc415495738"/>
      <w:bookmarkStart w:id="128" w:name="_Toc447305590"/>
      <w:bookmarkStart w:id="129" w:name="_Toc452292640"/>
      <w:bookmarkStart w:id="130" w:name="_Toc452487348"/>
      <w:r>
        <w:rPr>
          <w:rFonts w:ascii="Times New Roman" w:hAnsi="Times New Roman" w:cs="Times New Roman"/>
          <w:i w:val="0"/>
          <w:sz w:val="24"/>
          <w:szCs w:val="24"/>
        </w:rPr>
        <w:t>4.2</w:t>
      </w:r>
      <w:r w:rsidR="00586B08">
        <w:rPr>
          <w:rFonts w:ascii="Times New Roman" w:hAnsi="Times New Roman" w:cs="Times New Roman"/>
          <w:i w:val="0"/>
          <w:sz w:val="24"/>
          <w:szCs w:val="24"/>
        </w:rPr>
        <w:t>.</w:t>
      </w:r>
      <w:r w:rsidR="000E0E30" w:rsidRPr="005C582E">
        <w:rPr>
          <w:rFonts w:ascii="Times New Roman" w:hAnsi="Times New Roman" w:cs="Times New Roman"/>
          <w:i w:val="0"/>
          <w:sz w:val="24"/>
          <w:szCs w:val="24"/>
        </w:rPr>
        <w:t xml:space="preserve"> Conclusion</w:t>
      </w:r>
      <w:bookmarkEnd w:id="125"/>
      <w:bookmarkEnd w:id="126"/>
      <w:bookmarkEnd w:id="127"/>
      <w:bookmarkEnd w:id="128"/>
      <w:bookmarkEnd w:id="129"/>
      <w:r w:rsidR="000E0E30">
        <w:rPr>
          <w:rFonts w:ascii="Times New Roman" w:hAnsi="Times New Roman" w:cs="Times New Roman"/>
          <w:i w:val="0"/>
          <w:sz w:val="24"/>
          <w:szCs w:val="24"/>
        </w:rPr>
        <w:t>s</w:t>
      </w:r>
      <w:bookmarkEnd w:id="130"/>
    </w:p>
    <w:p w14:paraId="4F6A5ADE" w14:textId="73D0BB27" w:rsidR="00310F80" w:rsidRDefault="00310F80" w:rsidP="00E62866">
      <w:pPr>
        <w:spacing w:line="240" w:lineRule="auto"/>
        <w:jc w:val="both"/>
      </w:pPr>
      <w:r>
        <w:t>Concerning the external economic factors, t</w:t>
      </w:r>
      <w:r w:rsidRPr="00516B63">
        <w:t xml:space="preserve">he </w:t>
      </w:r>
      <w:r>
        <w:t>t</w:t>
      </w:r>
      <w:r w:rsidRPr="00516B63">
        <w:t>ype of relationship between gross domes</w:t>
      </w:r>
      <w:r>
        <w:t xml:space="preserve">tic product growth rate and bank profitability is mixed. It </w:t>
      </w:r>
      <w:r w:rsidRPr="00516B63">
        <w:t>seems that it is negatively related to ROA and positively related to ROE. Howev</w:t>
      </w:r>
      <w:r>
        <w:t xml:space="preserve">er, in both cases the </w:t>
      </w:r>
      <w:r w:rsidRPr="00516B63">
        <w:t>relationship is not significant. However, it is significantly negatively re</w:t>
      </w:r>
      <w:r>
        <w:t xml:space="preserve">lated to NIM. This relationship </w:t>
      </w:r>
      <w:r w:rsidRPr="00516B63">
        <w:t>supports the view that GDP growth is not necessarily positivel</w:t>
      </w:r>
      <w:r>
        <w:t xml:space="preserve">y related with bank performance. </w:t>
      </w:r>
      <w:r w:rsidRPr="00516B63">
        <w:t>The other macro</w:t>
      </w:r>
      <w:r>
        <w:t xml:space="preserve">economic variable, inflation is </w:t>
      </w:r>
      <w:r w:rsidRPr="00516B63">
        <w:t>significantly negative</w:t>
      </w:r>
      <w:r>
        <w:t>ly related with the profitability</w:t>
      </w:r>
      <w:r w:rsidRPr="00516B63">
        <w:t xml:space="preserve"> of commercial banks. This is probably due to the fact that inflation could affect the value for money, purchasi</w:t>
      </w:r>
      <w:r>
        <w:t xml:space="preserve">ng power of people and the real </w:t>
      </w:r>
      <w:r w:rsidRPr="00516B63">
        <w:t>interest rate</w:t>
      </w:r>
      <w:r>
        <w:t xml:space="preserve"> that banks charge and receive.</w:t>
      </w:r>
    </w:p>
    <w:p w14:paraId="29A8AB93" w14:textId="77777777" w:rsidR="00310F80" w:rsidRPr="00310F80" w:rsidRDefault="00310F80" w:rsidP="00E62866">
      <w:pPr>
        <w:spacing w:line="240" w:lineRule="auto"/>
        <w:jc w:val="both"/>
      </w:pPr>
    </w:p>
    <w:p w14:paraId="1B54EE13" w14:textId="77777777" w:rsidR="000E0E30" w:rsidRDefault="000E0E30" w:rsidP="00E62866">
      <w:pPr>
        <w:spacing w:line="240" w:lineRule="auto"/>
        <w:jc w:val="both"/>
      </w:pPr>
      <w:r>
        <w:lastRenderedPageBreak/>
        <w:t xml:space="preserve">Concerning the bank internal factors, this study found </w:t>
      </w:r>
      <w:r w:rsidRPr="00516B63">
        <w:t xml:space="preserve">the </w:t>
      </w:r>
      <w:r>
        <w:t xml:space="preserve">influence of </w:t>
      </w:r>
      <w:r w:rsidRPr="00516B63">
        <w:t xml:space="preserve">the identified bank specific factors and </w:t>
      </w:r>
      <w:r>
        <w:t>bank profitability</w:t>
      </w:r>
      <w:r w:rsidRPr="00516B63">
        <w:t xml:space="preserve"> as expressed by ROA, ROE and NIM. </w:t>
      </w:r>
      <w:r>
        <w:t xml:space="preserve"> </w:t>
      </w:r>
      <w:r w:rsidRPr="00516B63">
        <w:t>This is in line with the conventional argu</w:t>
      </w:r>
      <w:r>
        <w:t xml:space="preserve">ment that higher capital ratios </w:t>
      </w:r>
      <w:r w:rsidRPr="00516B63">
        <w:t>encourage banks to invest in safer assets, such as lower-risk loans or se</w:t>
      </w:r>
      <w:r>
        <w:t xml:space="preserve">curities, which may affect bank profitability. </w:t>
      </w:r>
      <w:r w:rsidRPr="00516B63">
        <w:t>Asset quality which is expressed as non-performing loans to total</w:t>
      </w:r>
      <w:r>
        <w:t xml:space="preserve"> loans is negatively related to </w:t>
      </w:r>
      <w:r w:rsidRPr="00516B63">
        <w:t>all the three bank performance indicators. This indicates that poor asse</w:t>
      </w:r>
      <w:r>
        <w:t xml:space="preserve">t quality or high nonperforming </w:t>
      </w:r>
      <w:r w:rsidRPr="00516B63">
        <w:t xml:space="preserve">loans to total asset </w:t>
      </w:r>
      <w:r>
        <w:t>related to poor bank profitability</w:t>
      </w:r>
      <w:r w:rsidRPr="00516B63">
        <w:t>. The negative correlation co</w:t>
      </w:r>
      <w:r>
        <w:t xml:space="preserve">efficient </w:t>
      </w:r>
      <w:r w:rsidRPr="00516B63">
        <w:t xml:space="preserve">between poor asset quality and return on equity is </w:t>
      </w:r>
      <w:r>
        <w:t xml:space="preserve">not </w:t>
      </w:r>
      <w:r w:rsidRPr="00516B63">
        <w:t>very strong. Th</w:t>
      </w:r>
      <w:r>
        <w:t xml:space="preserve">is is due to the fact that loan </w:t>
      </w:r>
      <w:r w:rsidRPr="00516B63">
        <w:t>constitutes the largest share of assets that ge</w:t>
      </w:r>
      <w:r>
        <w:t>nerate income for the equity</w:t>
      </w:r>
      <w:r w:rsidRPr="00516B63">
        <w:t xml:space="preserve">. </w:t>
      </w:r>
    </w:p>
    <w:p w14:paraId="243E065A" w14:textId="77777777" w:rsidR="000E0E30" w:rsidRPr="00516B63" w:rsidRDefault="000E0E30" w:rsidP="00E62866">
      <w:pPr>
        <w:spacing w:line="240" w:lineRule="auto"/>
        <w:jc w:val="both"/>
      </w:pPr>
      <w:r w:rsidRPr="00516B63">
        <w:t>The other</w:t>
      </w:r>
      <w:r>
        <w:t xml:space="preserve"> </w:t>
      </w:r>
      <w:r w:rsidRPr="00516B63">
        <w:t>explanatory variable, management efficiency is positively related to all the three performance ratios</w:t>
      </w:r>
      <w:r>
        <w:t xml:space="preserve"> and more </w:t>
      </w:r>
      <w:r w:rsidRPr="00516B63">
        <w:t>related to ROE. Liquidity management is also positively related to ROA, ROE and</w:t>
      </w:r>
      <w:r>
        <w:t xml:space="preserve"> </w:t>
      </w:r>
      <w:r w:rsidRPr="00516B63">
        <w:t>NIM but the relationship is very weak. This may be due to the fact th</w:t>
      </w:r>
      <w:r>
        <w:t xml:space="preserve">at liquidity management is more </w:t>
      </w:r>
      <w:r w:rsidRPr="00516B63">
        <w:t>related with fulfilling depositors’ obligation (safeguarding depositors) than investment.</w:t>
      </w:r>
    </w:p>
    <w:p w14:paraId="1238F43E" w14:textId="6C5FBB32" w:rsidR="000E0E30" w:rsidRPr="005C582E" w:rsidRDefault="00BC4EC7" w:rsidP="00E62866">
      <w:pPr>
        <w:pStyle w:val="Heading2"/>
        <w:spacing w:before="100" w:beforeAutospacing="1" w:after="100" w:afterAutospacing="1" w:line="240" w:lineRule="auto"/>
        <w:contextualSpacing/>
        <w:rPr>
          <w:rFonts w:ascii="Times New Roman" w:hAnsi="Times New Roman" w:cs="Times New Roman"/>
          <w:b w:val="0"/>
          <w:i w:val="0"/>
          <w:sz w:val="24"/>
          <w:szCs w:val="24"/>
        </w:rPr>
      </w:pPr>
      <w:bookmarkStart w:id="131" w:name="_Toc403118063"/>
      <w:bookmarkStart w:id="132" w:name="_Toc405999587"/>
      <w:bookmarkStart w:id="133" w:name="_Toc415495739"/>
      <w:bookmarkStart w:id="134" w:name="_Toc447305591"/>
      <w:bookmarkStart w:id="135" w:name="_Toc452292641"/>
      <w:bookmarkStart w:id="136" w:name="_Toc452487349"/>
      <w:r>
        <w:rPr>
          <w:rFonts w:ascii="Times New Roman" w:hAnsi="Times New Roman" w:cs="Times New Roman"/>
          <w:i w:val="0"/>
          <w:sz w:val="24"/>
          <w:szCs w:val="24"/>
        </w:rPr>
        <w:t>4.3</w:t>
      </w:r>
      <w:r w:rsidR="00586B08">
        <w:rPr>
          <w:rFonts w:ascii="Times New Roman" w:hAnsi="Times New Roman" w:cs="Times New Roman"/>
          <w:i w:val="0"/>
          <w:sz w:val="24"/>
          <w:szCs w:val="24"/>
        </w:rPr>
        <w:t>.</w:t>
      </w:r>
      <w:r w:rsidR="000E0E30" w:rsidRPr="005C582E">
        <w:rPr>
          <w:rFonts w:ascii="Times New Roman" w:hAnsi="Times New Roman" w:cs="Times New Roman"/>
          <w:i w:val="0"/>
          <w:sz w:val="24"/>
          <w:szCs w:val="24"/>
        </w:rPr>
        <w:t xml:space="preserve"> Recommendations</w:t>
      </w:r>
      <w:bookmarkEnd w:id="131"/>
      <w:bookmarkEnd w:id="132"/>
      <w:bookmarkEnd w:id="133"/>
      <w:bookmarkEnd w:id="134"/>
      <w:bookmarkEnd w:id="135"/>
      <w:bookmarkEnd w:id="136"/>
    </w:p>
    <w:p w14:paraId="2DFEAA64" w14:textId="2DBB9931" w:rsidR="000E0E30" w:rsidRDefault="000E0E30" w:rsidP="00E62866">
      <w:pPr>
        <w:spacing w:after="0" w:line="240" w:lineRule="auto"/>
        <w:jc w:val="both"/>
      </w:pPr>
      <w:bookmarkStart w:id="137" w:name="_Toc403118064"/>
      <w:bookmarkStart w:id="138" w:name="_Toc405999588"/>
      <w:bookmarkStart w:id="139" w:name="_Toc415495740"/>
      <w:r w:rsidRPr="00A6560B">
        <w:rPr>
          <w:rFonts w:eastAsia="Times New Roman"/>
        </w:rPr>
        <w:t>Basing on the findings and interpretations as well as the theoretical aspects presented in the literature review</w:t>
      </w:r>
      <w:r w:rsidRPr="00A6560B">
        <w:t xml:space="preserve"> this research recommends that, the employees are considered as a very important requirement to the operation and the procedures in </w:t>
      </w:r>
      <w:r>
        <w:t>the analysis of economic factors in commercial banks</w:t>
      </w:r>
      <w:r w:rsidRPr="00A6560B">
        <w:t>, so bank of Kigali</w:t>
      </w:r>
      <w:r>
        <w:t xml:space="preserve"> </w:t>
      </w:r>
      <w:r w:rsidR="008971AE">
        <w:t>have to keep on</w:t>
      </w:r>
      <w:r w:rsidRPr="00A6560B">
        <w:t xml:space="preserve"> the skills of the employees </w:t>
      </w:r>
      <w:r>
        <w:t>working in this department</w:t>
      </w:r>
      <w:r w:rsidRPr="00A6560B">
        <w:t xml:space="preserve">.  </w:t>
      </w:r>
    </w:p>
    <w:p w14:paraId="6C5DBB2E" w14:textId="1FC6DDBB" w:rsidR="0053269C" w:rsidRPr="00A6560B" w:rsidRDefault="0053269C" w:rsidP="00E62866">
      <w:pPr>
        <w:spacing w:line="240" w:lineRule="auto"/>
        <w:jc w:val="both"/>
      </w:pPr>
      <w:r>
        <w:t>Commercial b</w:t>
      </w:r>
      <w:r w:rsidRPr="00A9331B">
        <w:t>anks should comply with banking rules and regu</w:t>
      </w:r>
      <w:r>
        <w:t>lations to optimize the influences of external factors to their profitability. I</w:t>
      </w:r>
      <w:r w:rsidRPr="00A9331B">
        <w:t>ncidence of the regulatory authorities should regularly acc</w:t>
      </w:r>
      <w:r>
        <w:t xml:space="preserve">ess the lending behavior of the banking industry. </w:t>
      </w:r>
      <w:r w:rsidRPr="00A9331B">
        <w:t xml:space="preserve">The bank lending environment should well be examined before and </w:t>
      </w:r>
      <w:r>
        <w:t xml:space="preserve">after credit and the regulatory </w:t>
      </w:r>
      <w:r w:rsidRPr="00A9331B">
        <w:t>authorities should put in place monetary and macroeconomic variables that c</w:t>
      </w:r>
      <w:r>
        <w:t xml:space="preserve">an affect negatively the </w:t>
      </w:r>
      <w:r w:rsidRPr="00A9331B">
        <w:t>credit function of the commercial banks.</w:t>
      </w:r>
      <w:r w:rsidR="0061278C">
        <w:t xml:space="preserve"> The economic factors analysts </w:t>
      </w:r>
      <w:r w:rsidRPr="00A9331B">
        <w:t>of the commercial banks should be integrated with the profitability objectives of the</w:t>
      </w:r>
      <w:r>
        <w:t xml:space="preserve"> </w:t>
      </w:r>
      <w:r w:rsidRPr="00A9331B">
        <w:t>banks and sound credit culture should be introduced.</w:t>
      </w:r>
    </w:p>
    <w:bookmarkEnd w:id="137"/>
    <w:bookmarkEnd w:id="138"/>
    <w:bookmarkEnd w:id="139"/>
    <w:p w14:paraId="0D2A12A2" w14:textId="77777777" w:rsidR="000E0E30" w:rsidRDefault="000E0E30" w:rsidP="00E62866">
      <w:pPr>
        <w:spacing w:line="240" w:lineRule="auto"/>
        <w:jc w:val="both"/>
      </w:pPr>
      <w:r w:rsidRPr="00A6560B">
        <w:t>An extension of this study for future study can be developed in several areas, first, interested parties could be developed on other sectors such as insurance sectors not only focusing on commercial bank. Results from the different models using different predictive variables could be compared to indicate whether the estimated prediction model</w:t>
      </w:r>
      <w:r>
        <w:t xml:space="preserve"> </w:t>
      </w:r>
      <w:r w:rsidRPr="00A6560B">
        <w:t>(s) applied to different sectors could improve classification accuracy. Finally,</w:t>
      </w:r>
      <w:r>
        <w:t xml:space="preserve"> further studies could focus on</w:t>
      </w:r>
      <w:r w:rsidRPr="00A6560B">
        <w:t xml:space="preserve"> non-financial information such as disclosure on corporate governance, marketing strategy, human resource management </w:t>
      </w:r>
      <w:r>
        <w:t>and</w:t>
      </w:r>
      <w:r w:rsidRPr="00A6560B">
        <w:t xml:space="preserve"> </w:t>
      </w:r>
      <w:r>
        <w:t>profitability in commercial banks</w:t>
      </w:r>
      <w:r w:rsidRPr="00A6560B">
        <w:t xml:space="preserve">. </w:t>
      </w:r>
      <w:r w:rsidRPr="00A6560B">
        <w:cr/>
      </w:r>
    </w:p>
    <w:p w14:paraId="22197C50" w14:textId="77777777" w:rsidR="000E0E30" w:rsidRDefault="000E0E30" w:rsidP="00E62866">
      <w:pPr>
        <w:spacing w:line="240" w:lineRule="auto"/>
        <w:jc w:val="both"/>
      </w:pPr>
    </w:p>
    <w:p w14:paraId="46C2CA06" w14:textId="77777777" w:rsidR="000E0E30" w:rsidRDefault="000E0E30" w:rsidP="00E62866">
      <w:pPr>
        <w:spacing w:line="240" w:lineRule="auto"/>
        <w:jc w:val="both"/>
      </w:pPr>
    </w:p>
    <w:p w14:paraId="39CD3487" w14:textId="77777777" w:rsidR="000E0E30" w:rsidRDefault="000E0E30" w:rsidP="00E62866">
      <w:pPr>
        <w:spacing w:line="240" w:lineRule="auto"/>
        <w:jc w:val="both"/>
      </w:pPr>
    </w:p>
    <w:p w14:paraId="661DD0F5" w14:textId="77777777" w:rsidR="000E0E30" w:rsidRDefault="000E0E30" w:rsidP="00E62866">
      <w:pPr>
        <w:spacing w:line="240" w:lineRule="auto"/>
        <w:jc w:val="both"/>
        <w:rPr>
          <w:noProof/>
          <w:color w:val="000000"/>
        </w:rPr>
      </w:pPr>
    </w:p>
    <w:p w14:paraId="1E6335B1" w14:textId="77777777" w:rsidR="00A41B35" w:rsidRDefault="00A41B35" w:rsidP="00E62866">
      <w:pPr>
        <w:spacing w:line="240" w:lineRule="auto"/>
        <w:jc w:val="both"/>
      </w:pPr>
    </w:p>
    <w:p w14:paraId="7282AC96" w14:textId="30E0CB8C" w:rsidR="00C9130A" w:rsidRDefault="00732397" w:rsidP="00E62866">
      <w:pPr>
        <w:pStyle w:val="Heading1"/>
        <w:spacing w:line="240" w:lineRule="auto"/>
        <w:jc w:val="center"/>
      </w:pPr>
      <w:bookmarkStart w:id="140" w:name="_Toc452487351"/>
      <w:r w:rsidRPr="00732397">
        <w:rPr>
          <w:rFonts w:ascii="Times New Roman" w:hAnsi="Times New Roman" w:cs="Times New Roman"/>
          <w:b/>
          <w:color w:val="auto"/>
          <w:sz w:val="28"/>
          <w:szCs w:val="28"/>
        </w:rPr>
        <w:lastRenderedPageBreak/>
        <w:t>REFERENCES</w:t>
      </w:r>
      <w:bookmarkEnd w:id="140"/>
    </w:p>
    <w:p w14:paraId="044BF79F" w14:textId="332CC68B" w:rsidR="00732397" w:rsidRPr="00732397" w:rsidRDefault="00732397" w:rsidP="00E62866">
      <w:pPr>
        <w:pStyle w:val="Bibliography"/>
        <w:spacing w:line="240" w:lineRule="auto"/>
        <w:ind w:left="720" w:hanging="720"/>
        <w:jc w:val="both"/>
        <w:rPr>
          <w:noProof/>
        </w:rPr>
      </w:pPr>
      <w:r w:rsidRPr="00732397">
        <w:fldChar w:fldCharType="begin"/>
      </w:r>
      <w:r w:rsidRPr="00732397">
        <w:instrText xml:space="preserve"> BIBLIOGRAPHY  \l 1033 </w:instrText>
      </w:r>
      <w:r w:rsidRPr="00732397">
        <w:fldChar w:fldCharType="separate"/>
      </w:r>
      <w:r w:rsidRPr="00732397">
        <w:rPr>
          <w:noProof/>
        </w:rPr>
        <w:t xml:space="preserve">Adeyemi, A. Adekunle, A. &amp; Taiwo,K. (2013). </w:t>
      </w:r>
      <w:r w:rsidR="003F2F5F" w:rsidRPr="00732397">
        <w:rPr>
          <w:noProof/>
        </w:rPr>
        <w:t>An Empirical Investigation Of The Financial Reporting Practices And Banks’ Stability In Nigeria</w:t>
      </w:r>
      <w:r w:rsidRPr="00732397">
        <w:rPr>
          <w:noProof/>
        </w:rPr>
        <w:t xml:space="preserve">. </w:t>
      </w:r>
      <w:r w:rsidRPr="00732397">
        <w:rPr>
          <w:i/>
          <w:iCs/>
          <w:noProof/>
        </w:rPr>
        <w:t>Kuwait Chapter of Arabian Journal of Business and Management Review, Vol.2</w:t>
      </w:r>
      <w:r w:rsidRPr="00732397">
        <w:rPr>
          <w:noProof/>
        </w:rPr>
        <w:t>(5), PP.157 - 180.</w:t>
      </w:r>
    </w:p>
    <w:p w14:paraId="7167369F" w14:textId="77777777" w:rsidR="00732397" w:rsidRPr="00732397" w:rsidRDefault="00732397" w:rsidP="00E62866">
      <w:pPr>
        <w:pStyle w:val="Bibliography"/>
        <w:spacing w:line="240" w:lineRule="auto"/>
        <w:ind w:left="720" w:hanging="720"/>
        <w:jc w:val="both"/>
        <w:rPr>
          <w:noProof/>
        </w:rPr>
      </w:pPr>
      <w:r w:rsidRPr="00732397">
        <w:rPr>
          <w:noProof/>
        </w:rPr>
        <w:t xml:space="preserve">Allison, P. D. (2001). </w:t>
      </w:r>
      <w:r w:rsidRPr="00732397">
        <w:rPr>
          <w:i/>
          <w:iCs/>
          <w:noProof/>
        </w:rPr>
        <w:t>Missing data (Sage University Paper Series on Quantitative Applications in the Social Sciences series no. 07-136).</w:t>
      </w:r>
      <w:r w:rsidRPr="00732397">
        <w:rPr>
          <w:noProof/>
        </w:rPr>
        <w:t xml:space="preserve"> Thousand Oaks, CA: Sage.</w:t>
      </w:r>
    </w:p>
    <w:p w14:paraId="1FA763E1" w14:textId="77777777" w:rsidR="00732397" w:rsidRPr="00732397" w:rsidRDefault="00732397" w:rsidP="00E62866">
      <w:pPr>
        <w:pStyle w:val="Bibliography"/>
        <w:spacing w:line="240" w:lineRule="auto"/>
        <w:ind w:left="720" w:hanging="720"/>
        <w:jc w:val="both"/>
        <w:rPr>
          <w:noProof/>
        </w:rPr>
      </w:pPr>
      <w:r w:rsidRPr="00732397">
        <w:rPr>
          <w:noProof/>
        </w:rPr>
        <w:t xml:space="preserve">Altunbas, Y., Evans, L., &amp; Molyneux, P. (2001). Bank Ownership and Efficiency. </w:t>
      </w:r>
      <w:r w:rsidRPr="00732397">
        <w:rPr>
          <w:i/>
          <w:iCs/>
          <w:noProof/>
        </w:rPr>
        <w:t>Journal of Money, Credit and Banking, 33</w:t>
      </w:r>
      <w:r w:rsidRPr="00732397">
        <w:rPr>
          <w:noProof/>
        </w:rPr>
        <w:t>(4), 926-954.</w:t>
      </w:r>
    </w:p>
    <w:p w14:paraId="73AF7ACA" w14:textId="77777777" w:rsidR="00732397" w:rsidRPr="00732397" w:rsidRDefault="00732397" w:rsidP="00E62866">
      <w:pPr>
        <w:pStyle w:val="Bibliography"/>
        <w:spacing w:line="240" w:lineRule="auto"/>
        <w:ind w:left="720" w:hanging="720"/>
        <w:jc w:val="both"/>
        <w:rPr>
          <w:noProof/>
        </w:rPr>
      </w:pPr>
      <w:r w:rsidRPr="00732397">
        <w:rPr>
          <w:noProof/>
        </w:rPr>
        <w:t xml:space="preserve">Athanasoglou, P. P., Sophocles, N. B., &amp; Delis, M. D. (2008). Bank-specific, industry-specific and macroeconomic determinants of bank profitability. </w:t>
      </w:r>
      <w:r w:rsidRPr="00732397">
        <w:rPr>
          <w:i/>
          <w:iCs/>
          <w:noProof/>
        </w:rPr>
        <w:t>International Financial Markets, Institutions and Money, 18</w:t>
      </w:r>
      <w:r w:rsidRPr="00732397">
        <w:rPr>
          <w:noProof/>
        </w:rPr>
        <w:t>(2), 121-136.</w:t>
      </w:r>
    </w:p>
    <w:p w14:paraId="2E067F3C" w14:textId="77777777" w:rsidR="00732397" w:rsidRPr="00732397" w:rsidRDefault="00732397" w:rsidP="00E62866">
      <w:pPr>
        <w:pStyle w:val="Bibliography"/>
        <w:spacing w:line="240" w:lineRule="auto"/>
        <w:ind w:left="720" w:hanging="720"/>
        <w:jc w:val="both"/>
        <w:rPr>
          <w:noProof/>
        </w:rPr>
      </w:pPr>
      <w:r w:rsidRPr="00732397">
        <w:rPr>
          <w:noProof/>
        </w:rPr>
        <w:t xml:space="preserve">Ayadi, R., Llewellyn, D. T., Schmidt, R. H., Arbak, E., &amp; De Groen, W. P. (2010). </w:t>
      </w:r>
      <w:r w:rsidRPr="00732397">
        <w:rPr>
          <w:i/>
          <w:iCs/>
          <w:noProof/>
        </w:rPr>
        <w:t>Investigating Diversity in the Banking Sector in Europe: Key Developments, Performance and Role of Cooperative Banks.</w:t>
      </w:r>
      <w:r w:rsidRPr="00732397">
        <w:rPr>
          <w:noProof/>
        </w:rPr>
        <w:t xml:space="preserve"> Brussels: Centre for European Policy Studies.</w:t>
      </w:r>
    </w:p>
    <w:p w14:paraId="4A4BF158" w14:textId="77777777" w:rsidR="00732397" w:rsidRPr="00732397" w:rsidRDefault="00732397" w:rsidP="00E62866">
      <w:pPr>
        <w:pStyle w:val="Bibliography"/>
        <w:spacing w:line="240" w:lineRule="auto"/>
        <w:ind w:left="720" w:hanging="720"/>
        <w:jc w:val="both"/>
        <w:rPr>
          <w:noProof/>
        </w:rPr>
      </w:pPr>
      <w:r w:rsidRPr="00732397">
        <w:rPr>
          <w:noProof/>
        </w:rPr>
        <w:t xml:space="preserve">Ayanda, A. M., Christopher, E. I., &amp; Mudashiru, M. A. (2013). Determinants of banks’ profitability in developing economy: evidence from Nigerian banking industry. </w:t>
      </w:r>
      <w:r w:rsidRPr="00732397">
        <w:rPr>
          <w:i/>
          <w:iCs/>
          <w:noProof/>
        </w:rPr>
        <w:t>Interdisciplinary Journal of contemporary research in business, 4</w:t>
      </w:r>
      <w:r w:rsidRPr="00732397">
        <w:rPr>
          <w:noProof/>
        </w:rPr>
        <w:t>(2), 155-181.</w:t>
      </w:r>
    </w:p>
    <w:p w14:paraId="5E76A0EC" w14:textId="77777777" w:rsidR="00732397" w:rsidRPr="00732397" w:rsidRDefault="00732397" w:rsidP="00E62866">
      <w:pPr>
        <w:pStyle w:val="Bibliography"/>
        <w:spacing w:line="240" w:lineRule="auto"/>
        <w:ind w:left="720" w:hanging="720"/>
        <w:jc w:val="both"/>
        <w:rPr>
          <w:noProof/>
        </w:rPr>
      </w:pPr>
      <w:r w:rsidRPr="00732397">
        <w:rPr>
          <w:noProof/>
        </w:rPr>
        <w:t xml:space="preserve">Bank of KIgali [BK]. (2014). </w:t>
      </w:r>
      <w:r w:rsidRPr="00732397">
        <w:rPr>
          <w:i/>
          <w:iCs/>
          <w:noProof/>
        </w:rPr>
        <w:t>Bank of KIgali [BK] annual report 2014.</w:t>
      </w:r>
      <w:r w:rsidRPr="00732397">
        <w:rPr>
          <w:noProof/>
        </w:rPr>
        <w:t xml:space="preserve"> Kigali / Rwnda: Bank of KIgali [BK].</w:t>
      </w:r>
    </w:p>
    <w:p w14:paraId="0808636A" w14:textId="77777777" w:rsidR="00732397" w:rsidRPr="00732397" w:rsidRDefault="00732397" w:rsidP="00E62866">
      <w:pPr>
        <w:pStyle w:val="Bibliography"/>
        <w:spacing w:line="240" w:lineRule="auto"/>
        <w:ind w:left="720" w:hanging="720"/>
        <w:jc w:val="both"/>
        <w:rPr>
          <w:noProof/>
        </w:rPr>
      </w:pPr>
      <w:r w:rsidRPr="00732397">
        <w:rPr>
          <w:noProof/>
        </w:rPr>
        <w:t xml:space="preserve">Barako, D. G. (2007). Determinants of voluntary disclosures in Kenyan companies annual reports. </w:t>
      </w:r>
      <w:r w:rsidRPr="00732397">
        <w:rPr>
          <w:i/>
          <w:iCs/>
          <w:noProof/>
        </w:rPr>
        <w:t>African Journal of Business Management, Vol.1</w:t>
      </w:r>
      <w:r w:rsidRPr="00732397">
        <w:rPr>
          <w:noProof/>
        </w:rPr>
        <w:t>(5), pp. 113-128.</w:t>
      </w:r>
    </w:p>
    <w:p w14:paraId="44DA9FA4" w14:textId="77777777" w:rsidR="00732397" w:rsidRPr="00732397" w:rsidRDefault="00732397" w:rsidP="00E62866">
      <w:pPr>
        <w:pStyle w:val="Bibliography"/>
        <w:spacing w:line="240" w:lineRule="auto"/>
        <w:ind w:left="720" w:hanging="720"/>
        <w:jc w:val="both"/>
        <w:rPr>
          <w:noProof/>
        </w:rPr>
      </w:pPr>
      <w:r w:rsidRPr="00732397">
        <w:rPr>
          <w:noProof/>
        </w:rPr>
        <w:t xml:space="preserve">Berger, A. N. (1995). The Relationship between Capital and Earnings in Banking. </w:t>
      </w:r>
      <w:r w:rsidRPr="00732397">
        <w:rPr>
          <w:i/>
          <w:iCs/>
          <w:noProof/>
        </w:rPr>
        <w:t>Journal of Money, Credit and Banking, 27</w:t>
      </w:r>
      <w:r w:rsidRPr="00732397">
        <w:rPr>
          <w:noProof/>
        </w:rPr>
        <w:t>(2), 432-456.</w:t>
      </w:r>
    </w:p>
    <w:p w14:paraId="122B3105" w14:textId="533337CA" w:rsidR="00732397" w:rsidRPr="00732397" w:rsidRDefault="00732397" w:rsidP="00E62866">
      <w:pPr>
        <w:pStyle w:val="Bibliography"/>
        <w:spacing w:line="240" w:lineRule="auto"/>
        <w:ind w:left="720" w:hanging="720"/>
        <w:jc w:val="both"/>
        <w:rPr>
          <w:noProof/>
        </w:rPr>
      </w:pPr>
      <w:r w:rsidRPr="00732397">
        <w:rPr>
          <w:noProof/>
        </w:rPr>
        <w:t xml:space="preserve">Brunilda, D. &amp; Elvana, M. (2015). </w:t>
      </w:r>
      <w:r w:rsidR="003F2F5F" w:rsidRPr="00732397">
        <w:rPr>
          <w:noProof/>
        </w:rPr>
        <w:t>Factors Influencing The Bank Profitability</w:t>
      </w:r>
      <w:r w:rsidRPr="00732397">
        <w:rPr>
          <w:noProof/>
        </w:rPr>
        <w:t xml:space="preserve">. </w:t>
      </w:r>
      <w:r w:rsidRPr="00732397">
        <w:rPr>
          <w:i/>
          <w:iCs/>
          <w:noProof/>
        </w:rPr>
        <w:t>Asian Economic and Financial Review, 5</w:t>
      </w:r>
      <w:r w:rsidRPr="00732397">
        <w:rPr>
          <w:noProof/>
        </w:rPr>
        <w:t>(3), 483-494.</w:t>
      </w:r>
    </w:p>
    <w:p w14:paraId="1E044983" w14:textId="77777777" w:rsidR="00732397" w:rsidRPr="00732397" w:rsidRDefault="00732397" w:rsidP="00E62866">
      <w:pPr>
        <w:pStyle w:val="Bibliography"/>
        <w:spacing w:line="240" w:lineRule="auto"/>
        <w:ind w:left="720" w:hanging="720"/>
        <w:jc w:val="both"/>
        <w:rPr>
          <w:noProof/>
        </w:rPr>
      </w:pPr>
      <w:r w:rsidRPr="00732397">
        <w:rPr>
          <w:noProof/>
        </w:rPr>
        <w:t xml:space="preserve">Christos, K. S. &amp; Geoffrey, E. W. (2014). The Determinants Of European Bank Profitability. </w:t>
      </w:r>
      <w:r w:rsidRPr="00732397">
        <w:rPr>
          <w:i/>
          <w:iCs/>
          <w:noProof/>
        </w:rPr>
        <w:t>International Business &amp; Economics Research Journal, 3</w:t>
      </w:r>
      <w:r w:rsidRPr="00732397">
        <w:rPr>
          <w:noProof/>
        </w:rPr>
        <w:t>(6), 57 - 68.</w:t>
      </w:r>
    </w:p>
    <w:p w14:paraId="2584DF03" w14:textId="77777777" w:rsidR="00732397" w:rsidRPr="00732397" w:rsidRDefault="00732397" w:rsidP="00E62866">
      <w:pPr>
        <w:pStyle w:val="Bibliography"/>
        <w:spacing w:line="240" w:lineRule="auto"/>
        <w:ind w:left="720" w:hanging="720"/>
        <w:jc w:val="both"/>
        <w:rPr>
          <w:noProof/>
        </w:rPr>
      </w:pPr>
      <w:r w:rsidRPr="00732397">
        <w:rPr>
          <w:noProof/>
        </w:rPr>
        <w:t xml:space="preserve">Demirgüç-Kunt, A., &amp; Huizinga, H. (1999). Determinants of Commercial Bank Interest Margins and Profitability: Some International Evidence. </w:t>
      </w:r>
      <w:r w:rsidRPr="00732397">
        <w:rPr>
          <w:i/>
          <w:iCs/>
          <w:noProof/>
        </w:rPr>
        <w:t>The World Bank Economic Review, 13</w:t>
      </w:r>
      <w:r w:rsidRPr="00732397">
        <w:rPr>
          <w:noProof/>
        </w:rPr>
        <w:t>(2), 379-408.</w:t>
      </w:r>
    </w:p>
    <w:p w14:paraId="756C474F" w14:textId="0004DACF" w:rsidR="00732397" w:rsidRPr="00732397" w:rsidRDefault="00732397" w:rsidP="00E62866">
      <w:pPr>
        <w:pStyle w:val="Bibliography"/>
        <w:spacing w:line="240" w:lineRule="auto"/>
        <w:ind w:left="720" w:hanging="720"/>
        <w:jc w:val="both"/>
        <w:rPr>
          <w:noProof/>
        </w:rPr>
      </w:pPr>
      <w:r w:rsidRPr="00732397">
        <w:rPr>
          <w:noProof/>
        </w:rPr>
        <w:t xml:space="preserve">Fisseha, F. L. (2015). Meta analysis on the determinants of commercial bank’s profitability: (a conceptual frame work and modelling). </w:t>
      </w:r>
      <w:r w:rsidRPr="00732397">
        <w:rPr>
          <w:i/>
          <w:iCs/>
          <w:noProof/>
        </w:rPr>
        <w:t>European Scientific Journal, 11</w:t>
      </w:r>
      <w:r w:rsidRPr="00732397">
        <w:rPr>
          <w:noProof/>
        </w:rPr>
        <w:t>(19), 323 - 351.</w:t>
      </w:r>
    </w:p>
    <w:p w14:paraId="55F89E01" w14:textId="77777777" w:rsidR="00732397" w:rsidRPr="00732397" w:rsidRDefault="00732397" w:rsidP="00E62866">
      <w:pPr>
        <w:pStyle w:val="Bibliography"/>
        <w:spacing w:line="240" w:lineRule="auto"/>
        <w:ind w:left="720" w:hanging="720"/>
        <w:jc w:val="both"/>
        <w:rPr>
          <w:noProof/>
        </w:rPr>
      </w:pPr>
      <w:r w:rsidRPr="00732397">
        <w:rPr>
          <w:noProof/>
        </w:rPr>
        <w:t xml:space="preserve">Francis, M. (2013). Determinants of Commercial Bank Profitability in Sub-Saharan Africa. </w:t>
      </w:r>
      <w:r w:rsidRPr="00732397">
        <w:rPr>
          <w:i/>
          <w:iCs/>
          <w:noProof/>
        </w:rPr>
        <w:t>International Journal of Economics and Finance, 5</w:t>
      </w:r>
      <w:r w:rsidRPr="00732397">
        <w:rPr>
          <w:noProof/>
        </w:rPr>
        <w:t>(9), 11 - 24.</w:t>
      </w:r>
    </w:p>
    <w:p w14:paraId="3DD27364" w14:textId="77777777" w:rsidR="00732397" w:rsidRPr="00732397" w:rsidRDefault="00732397" w:rsidP="00E62866">
      <w:pPr>
        <w:pStyle w:val="Bibliography"/>
        <w:spacing w:line="240" w:lineRule="auto"/>
        <w:ind w:left="720" w:hanging="720"/>
        <w:jc w:val="both"/>
        <w:rPr>
          <w:noProof/>
        </w:rPr>
      </w:pPr>
      <w:r w:rsidRPr="00732397">
        <w:rPr>
          <w:noProof/>
        </w:rPr>
        <w:t xml:space="preserve">Gale, A. (2004). Competition and financial stability. </w:t>
      </w:r>
      <w:r w:rsidRPr="00732397">
        <w:rPr>
          <w:i/>
          <w:iCs/>
          <w:noProof/>
        </w:rPr>
        <w:t>Journal of Money Credit and Banking, Vol.36</w:t>
      </w:r>
      <w:r w:rsidRPr="00732397">
        <w:rPr>
          <w:noProof/>
        </w:rPr>
        <w:t>, pp. 453–481.</w:t>
      </w:r>
    </w:p>
    <w:p w14:paraId="4DA193CD" w14:textId="77777777" w:rsidR="00732397" w:rsidRPr="00732397" w:rsidRDefault="00732397" w:rsidP="00E62866">
      <w:pPr>
        <w:pStyle w:val="Bibliography"/>
        <w:spacing w:line="240" w:lineRule="auto"/>
        <w:ind w:left="720" w:hanging="720"/>
        <w:jc w:val="both"/>
        <w:rPr>
          <w:noProof/>
        </w:rPr>
      </w:pPr>
      <w:r w:rsidRPr="00732397">
        <w:rPr>
          <w:noProof/>
        </w:rPr>
        <w:lastRenderedPageBreak/>
        <w:t xml:space="preserve">Ines, G. B., &amp; Sonia, M. M. (2013). Explanatory Factors of Bank Performance Evidence from Tunisia. </w:t>
      </w:r>
      <w:r w:rsidRPr="00732397">
        <w:rPr>
          <w:i/>
          <w:iCs/>
          <w:noProof/>
        </w:rPr>
        <w:t>International Journal of Economics, Finance and Management, 2</w:t>
      </w:r>
      <w:r w:rsidRPr="00732397">
        <w:rPr>
          <w:noProof/>
        </w:rPr>
        <w:t>(1), 143 - 152.</w:t>
      </w:r>
    </w:p>
    <w:p w14:paraId="4AAFFC75" w14:textId="77777777" w:rsidR="00732397" w:rsidRPr="00732397" w:rsidRDefault="00732397" w:rsidP="00E62866">
      <w:pPr>
        <w:pStyle w:val="Bibliography"/>
        <w:spacing w:line="240" w:lineRule="auto"/>
        <w:ind w:left="720" w:hanging="720"/>
        <w:jc w:val="both"/>
        <w:rPr>
          <w:noProof/>
        </w:rPr>
      </w:pPr>
      <w:r w:rsidRPr="00732397">
        <w:rPr>
          <w:noProof/>
        </w:rPr>
        <w:t xml:space="preserve">James, O. A. &amp; Solomon,O . (2012). Compliance with Regulatory Financial Reporting and Corporate Governance Practices in Selected Primary Mortgage Institutions in Nigeria. </w:t>
      </w:r>
      <w:r w:rsidRPr="00732397">
        <w:rPr>
          <w:i/>
          <w:iCs/>
          <w:noProof/>
        </w:rPr>
        <w:t>International Journal of Business and Social Science, Vol.3</w:t>
      </w:r>
      <w:r w:rsidRPr="00732397">
        <w:rPr>
          <w:noProof/>
        </w:rPr>
        <w:t>(15), PP.246 - 254.</w:t>
      </w:r>
    </w:p>
    <w:p w14:paraId="5C74FE4D" w14:textId="77777777" w:rsidR="00732397" w:rsidRPr="00732397" w:rsidRDefault="00732397" w:rsidP="00E62866">
      <w:pPr>
        <w:pStyle w:val="Bibliography"/>
        <w:spacing w:line="240" w:lineRule="auto"/>
        <w:ind w:left="720" w:hanging="720"/>
        <w:jc w:val="both"/>
        <w:rPr>
          <w:noProof/>
        </w:rPr>
      </w:pPr>
      <w:r w:rsidRPr="00732397">
        <w:rPr>
          <w:noProof/>
        </w:rPr>
        <w:t xml:space="preserve">Kariuki, G. &amp; Jagongo, A. (2013). Institutional Investors’ Perceptions on Quality of Financial Reporting in Kenya. </w:t>
      </w:r>
      <w:r w:rsidRPr="00732397">
        <w:rPr>
          <w:i/>
          <w:iCs/>
          <w:noProof/>
        </w:rPr>
        <w:t>International Journal of Humanities and Social Science, Vol.3</w:t>
      </w:r>
      <w:r w:rsidRPr="00732397">
        <w:rPr>
          <w:noProof/>
        </w:rPr>
        <w:t>(21), PP.144 - 156.</w:t>
      </w:r>
    </w:p>
    <w:p w14:paraId="0F4CBC19" w14:textId="77777777" w:rsidR="00732397" w:rsidRPr="00732397" w:rsidRDefault="00732397" w:rsidP="00E62866">
      <w:pPr>
        <w:pStyle w:val="Bibliography"/>
        <w:spacing w:line="240" w:lineRule="auto"/>
        <w:ind w:left="720" w:hanging="720"/>
        <w:jc w:val="both"/>
        <w:rPr>
          <w:noProof/>
        </w:rPr>
      </w:pPr>
      <w:r w:rsidRPr="00732397">
        <w:rPr>
          <w:noProof/>
        </w:rPr>
        <w:t xml:space="preserve">Kiganda, K. (2014). Effect of Macroeconomic Factors on Commercial Banks Profitability in Kenya: Case of Equity Bank Limited. </w:t>
      </w:r>
      <w:r w:rsidRPr="00732397">
        <w:rPr>
          <w:i/>
          <w:iCs/>
          <w:noProof/>
        </w:rPr>
        <w:t>Journal of Economics and Sustainable Development, 5</w:t>
      </w:r>
      <w:r w:rsidRPr="00732397">
        <w:rPr>
          <w:noProof/>
        </w:rPr>
        <w:t>(2), 1 - 12.</w:t>
      </w:r>
    </w:p>
    <w:p w14:paraId="0DD8C2AF" w14:textId="77777777" w:rsidR="00732397" w:rsidRPr="00732397" w:rsidRDefault="00732397" w:rsidP="00E62866">
      <w:pPr>
        <w:pStyle w:val="Bibliography"/>
        <w:spacing w:line="240" w:lineRule="auto"/>
        <w:ind w:left="720" w:hanging="720"/>
        <w:jc w:val="both"/>
        <w:rPr>
          <w:noProof/>
        </w:rPr>
      </w:pPr>
      <w:r w:rsidRPr="00732397">
        <w:rPr>
          <w:noProof/>
        </w:rPr>
        <w:t xml:space="preserve">Levine, R., &amp; Loayza, N. (2000). Financial intermediation and growth: Causality and causes. </w:t>
      </w:r>
      <w:r w:rsidRPr="00732397">
        <w:rPr>
          <w:i/>
          <w:iCs/>
          <w:noProof/>
        </w:rPr>
        <w:t>Journal of Monetary Economics, 4</w:t>
      </w:r>
      <w:r w:rsidRPr="00732397">
        <w:rPr>
          <w:noProof/>
        </w:rPr>
        <w:t>(46), 31-77.</w:t>
      </w:r>
    </w:p>
    <w:p w14:paraId="4FB15E82" w14:textId="77777777" w:rsidR="00732397" w:rsidRPr="00732397" w:rsidRDefault="00732397" w:rsidP="00E62866">
      <w:pPr>
        <w:pStyle w:val="Bibliography"/>
        <w:spacing w:line="240" w:lineRule="auto"/>
        <w:ind w:left="720" w:hanging="720"/>
        <w:jc w:val="both"/>
        <w:rPr>
          <w:noProof/>
        </w:rPr>
      </w:pPr>
      <w:r w:rsidRPr="00732397">
        <w:rPr>
          <w:noProof/>
        </w:rPr>
        <w:t xml:space="preserve">Lipunga, A. (2014). Determinants of Profitability of Listed Commercial Banks in Developing Countries: Evidence from Malawi. </w:t>
      </w:r>
      <w:r w:rsidRPr="00732397">
        <w:rPr>
          <w:i/>
          <w:iCs/>
          <w:noProof/>
        </w:rPr>
        <w:t>Research Journal of Finance and Accounting, 5</w:t>
      </w:r>
      <w:r w:rsidRPr="00732397">
        <w:rPr>
          <w:noProof/>
        </w:rPr>
        <w:t>(6), 12 - 25.</w:t>
      </w:r>
    </w:p>
    <w:p w14:paraId="62837E23" w14:textId="77777777" w:rsidR="00732397" w:rsidRPr="00732397" w:rsidRDefault="00732397" w:rsidP="00E62866">
      <w:pPr>
        <w:pStyle w:val="Bibliography"/>
        <w:spacing w:line="240" w:lineRule="auto"/>
        <w:ind w:left="720" w:hanging="720"/>
        <w:jc w:val="both"/>
        <w:rPr>
          <w:noProof/>
        </w:rPr>
      </w:pPr>
      <w:r w:rsidRPr="00732397">
        <w:rPr>
          <w:noProof/>
        </w:rPr>
        <w:t xml:space="preserve">Manuel, D. (2014). </w:t>
      </w:r>
      <w:r w:rsidRPr="00732397">
        <w:rPr>
          <w:i/>
          <w:iCs/>
          <w:noProof/>
        </w:rPr>
        <w:t>A History of Bank Failures in the United States.</w:t>
      </w:r>
      <w:r w:rsidRPr="00732397">
        <w:rPr>
          <w:noProof/>
        </w:rPr>
        <w:t xml:space="preserve"> New York : DaveEmma.</w:t>
      </w:r>
    </w:p>
    <w:p w14:paraId="698AE78B" w14:textId="36165890" w:rsidR="00732397" w:rsidRPr="00732397" w:rsidRDefault="00732397" w:rsidP="00E62866">
      <w:pPr>
        <w:pStyle w:val="Bibliography"/>
        <w:spacing w:line="240" w:lineRule="auto"/>
        <w:ind w:left="720" w:hanging="720"/>
        <w:jc w:val="both"/>
        <w:rPr>
          <w:noProof/>
        </w:rPr>
      </w:pPr>
      <w:r w:rsidRPr="00732397">
        <w:rPr>
          <w:noProof/>
        </w:rPr>
        <w:t xml:space="preserve">Ministry of Finance and Economic Planning [MINECOFINE]. (2015). </w:t>
      </w:r>
      <w:r w:rsidRPr="00732397">
        <w:rPr>
          <w:i/>
          <w:iCs/>
          <w:noProof/>
        </w:rPr>
        <w:t>Rwanda Financial Sector Strategy.</w:t>
      </w:r>
      <w:r w:rsidRPr="00732397">
        <w:rPr>
          <w:noProof/>
        </w:rPr>
        <w:t xml:space="preserve"> Kigali: Government of Rwanda.</w:t>
      </w:r>
    </w:p>
    <w:p w14:paraId="10E1AFBE" w14:textId="77777777" w:rsidR="00732397" w:rsidRPr="00732397" w:rsidRDefault="00732397" w:rsidP="00E62866">
      <w:pPr>
        <w:pStyle w:val="Bibliography"/>
        <w:spacing w:line="240" w:lineRule="auto"/>
        <w:ind w:left="720" w:hanging="720"/>
        <w:jc w:val="both"/>
        <w:rPr>
          <w:noProof/>
        </w:rPr>
      </w:pPr>
      <w:r w:rsidRPr="00732397">
        <w:rPr>
          <w:noProof/>
        </w:rPr>
        <w:t xml:space="preserve">Molyneux, P., &amp; Thornton, J. (1992). Determinants of European bank profitability: A note. </w:t>
      </w:r>
      <w:r w:rsidRPr="00732397">
        <w:rPr>
          <w:i/>
          <w:iCs/>
          <w:noProof/>
        </w:rPr>
        <w:t>Journal of Banking and Finance, 16</w:t>
      </w:r>
      <w:r w:rsidRPr="00732397">
        <w:rPr>
          <w:noProof/>
        </w:rPr>
        <w:t>(6), 1173-1178.</w:t>
      </w:r>
    </w:p>
    <w:p w14:paraId="3D1FC33F" w14:textId="77777777" w:rsidR="00732397" w:rsidRPr="00732397" w:rsidRDefault="00732397" w:rsidP="00E62866">
      <w:pPr>
        <w:pStyle w:val="Bibliography"/>
        <w:spacing w:line="240" w:lineRule="auto"/>
        <w:ind w:left="720" w:hanging="720"/>
        <w:jc w:val="both"/>
        <w:rPr>
          <w:noProof/>
        </w:rPr>
      </w:pPr>
      <w:r w:rsidRPr="00732397">
        <w:rPr>
          <w:noProof/>
        </w:rPr>
        <w:t xml:space="preserve">Ong, T. S. &amp; Teh, B. H. (2013). Factors affecting the profitability of Malaysian commercial banks. </w:t>
      </w:r>
      <w:r w:rsidRPr="00732397">
        <w:rPr>
          <w:i/>
          <w:iCs/>
          <w:noProof/>
        </w:rPr>
        <w:t>African Journal of Business Management, 7</w:t>
      </w:r>
      <w:r w:rsidRPr="00732397">
        <w:rPr>
          <w:noProof/>
        </w:rPr>
        <w:t>(8), 649-660.</w:t>
      </w:r>
    </w:p>
    <w:p w14:paraId="06921CB6" w14:textId="77777777" w:rsidR="00732397" w:rsidRPr="00732397" w:rsidRDefault="00732397" w:rsidP="00E62866">
      <w:pPr>
        <w:pStyle w:val="Bibliography"/>
        <w:spacing w:line="240" w:lineRule="auto"/>
        <w:ind w:left="720" w:hanging="720"/>
        <w:jc w:val="both"/>
        <w:rPr>
          <w:noProof/>
        </w:rPr>
      </w:pPr>
      <w:r w:rsidRPr="00732397">
        <w:rPr>
          <w:noProof/>
        </w:rPr>
        <w:t xml:space="preserve">Ongore, V. O. (2013). Determinants of Financial Performance of Commercial Banks in Kenya. </w:t>
      </w:r>
      <w:r w:rsidRPr="00732397">
        <w:rPr>
          <w:i/>
          <w:iCs/>
          <w:noProof/>
        </w:rPr>
        <w:t>International Journal of Economics and Financial Issues, 3</w:t>
      </w:r>
      <w:r w:rsidRPr="00732397">
        <w:rPr>
          <w:noProof/>
        </w:rPr>
        <w:t>(1), 237-252.</w:t>
      </w:r>
    </w:p>
    <w:p w14:paraId="2E6416E9" w14:textId="77777777" w:rsidR="00732397" w:rsidRPr="00732397" w:rsidRDefault="00732397" w:rsidP="00E62866">
      <w:pPr>
        <w:pStyle w:val="Bibliography"/>
        <w:spacing w:line="240" w:lineRule="auto"/>
        <w:ind w:left="720" w:hanging="720"/>
        <w:jc w:val="both"/>
        <w:rPr>
          <w:noProof/>
        </w:rPr>
      </w:pPr>
      <w:r w:rsidRPr="00732397">
        <w:rPr>
          <w:noProof/>
        </w:rPr>
        <w:t xml:space="preserve">Onuonga, S. (2014). The Analysis of Profitability of Kenya`s Top Six Commercial Banks: Internal Factor Analysis. </w:t>
      </w:r>
      <w:r w:rsidRPr="00732397">
        <w:rPr>
          <w:i/>
          <w:iCs/>
          <w:noProof/>
        </w:rPr>
        <w:t>American International Journal of Social Science, Vol.3</w:t>
      </w:r>
      <w:r w:rsidRPr="00732397">
        <w:rPr>
          <w:noProof/>
        </w:rPr>
        <w:t>(5), 94 - 103.</w:t>
      </w:r>
    </w:p>
    <w:p w14:paraId="50CFA33D" w14:textId="77777777" w:rsidR="00732397" w:rsidRPr="00732397" w:rsidRDefault="00732397" w:rsidP="00E62866">
      <w:pPr>
        <w:pStyle w:val="Bibliography"/>
        <w:spacing w:line="240" w:lineRule="auto"/>
        <w:ind w:left="720" w:hanging="720"/>
        <w:jc w:val="both"/>
        <w:rPr>
          <w:noProof/>
        </w:rPr>
      </w:pPr>
      <w:r w:rsidRPr="00732397">
        <w:rPr>
          <w:noProof/>
        </w:rPr>
        <w:t xml:space="preserve">Onuonga, S. M. (2014). The Analysis of Profitability of Kenya`s Top Six Commercial Banks: Internal Factor Analysis. </w:t>
      </w:r>
      <w:r w:rsidRPr="00732397">
        <w:rPr>
          <w:i/>
          <w:iCs/>
          <w:noProof/>
        </w:rPr>
        <w:t>American International Journal of Social Science, Vol.3</w:t>
      </w:r>
      <w:r w:rsidRPr="00732397">
        <w:rPr>
          <w:noProof/>
        </w:rPr>
        <w:t>(5), 94 - 103.</w:t>
      </w:r>
    </w:p>
    <w:p w14:paraId="48B636A6" w14:textId="77777777" w:rsidR="00732397" w:rsidRPr="00732397" w:rsidRDefault="00732397" w:rsidP="00E62866">
      <w:pPr>
        <w:pStyle w:val="Bibliography"/>
        <w:spacing w:line="240" w:lineRule="auto"/>
        <w:ind w:left="720" w:hanging="720"/>
        <w:jc w:val="both"/>
        <w:rPr>
          <w:noProof/>
        </w:rPr>
      </w:pPr>
      <w:r w:rsidRPr="00732397">
        <w:rPr>
          <w:noProof/>
        </w:rPr>
        <w:t xml:space="preserve">Paul, K. (2001). Information asymmetry,Corporate disclosur and Capital markets. </w:t>
      </w:r>
      <w:r w:rsidRPr="00732397">
        <w:rPr>
          <w:i/>
          <w:iCs/>
          <w:noProof/>
        </w:rPr>
        <w:t>Journal of Accounting and Economics, Vol.31</w:t>
      </w:r>
      <w:r w:rsidRPr="00732397">
        <w:rPr>
          <w:noProof/>
        </w:rPr>
        <w:t>, pp.405-440.</w:t>
      </w:r>
    </w:p>
    <w:p w14:paraId="115B4FD4" w14:textId="77777777" w:rsidR="00732397" w:rsidRPr="00732397" w:rsidRDefault="00732397" w:rsidP="00E62866">
      <w:pPr>
        <w:pStyle w:val="Bibliography"/>
        <w:spacing w:line="240" w:lineRule="auto"/>
        <w:ind w:left="720" w:hanging="720"/>
        <w:jc w:val="both"/>
        <w:rPr>
          <w:noProof/>
        </w:rPr>
      </w:pPr>
      <w:r w:rsidRPr="00732397">
        <w:rPr>
          <w:noProof/>
        </w:rPr>
        <w:t xml:space="preserve">Pooran, L. (2014). Factors affecting U.S. Banking Performance: Evidence From the 2007-2013 Financial Crisis. </w:t>
      </w:r>
      <w:r w:rsidRPr="00732397">
        <w:rPr>
          <w:i/>
          <w:iCs/>
          <w:noProof/>
        </w:rPr>
        <w:t>International Journal of Economics, Finance and Management, 3</w:t>
      </w:r>
      <w:r w:rsidRPr="00732397">
        <w:rPr>
          <w:noProof/>
        </w:rPr>
        <w:t>(6), 282 - 295.</w:t>
      </w:r>
    </w:p>
    <w:p w14:paraId="77124377" w14:textId="77777777" w:rsidR="00732397" w:rsidRPr="00732397" w:rsidRDefault="00732397" w:rsidP="00E62866">
      <w:pPr>
        <w:pStyle w:val="Bibliography"/>
        <w:spacing w:line="240" w:lineRule="auto"/>
        <w:ind w:left="720" w:hanging="720"/>
        <w:jc w:val="both"/>
        <w:rPr>
          <w:noProof/>
        </w:rPr>
      </w:pPr>
      <w:r w:rsidRPr="00732397">
        <w:rPr>
          <w:noProof/>
        </w:rPr>
        <w:lastRenderedPageBreak/>
        <w:t xml:space="preserve">Praveen, P. (1990). Information asymmetries: source of competitive advanatage for diversified service firms. </w:t>
      </w:r>
      <w:r w:rsidRPr="00732397">
        <w:rPr>
          <w:i/>
          <w:iCs/>
          <w:noProof/>
        </w:rPr>
        <w:t>Strategic Management journal</w:t>
      </w:r>
      <w:r w:rsidRPr="00732397">
        <w:rPr>
          <w:noProof/>
        </w:rPr>
        <w:t>, PP.513-519.</w:t>
      </w:r>
    </w:p>
    <w:p w14:paraId="12B32910" w14:textId="77777777" w:rsidR="00732397" w:rsidRPr="00732397" w:rsidRDefault="00732397" w:rsidP="00E62866">
      <w:pPr>
        <w:pStyle w:val="Bibliography"/>
        <w:spacing w:line="240" w:lineRule="auto"/>
        <w:ind w:left="720" w:hanging="720"/>
        <w:jc w:val="both"/>
        <w:rPr>
          <w:noProof/>
        </w:rPr>
      </w:pPr>
      <w:r w:rsidRPr="00732397">
        <w:rPr>
          <w:noProof/>
        </w:rPr>
        <w:t xml:space="preserve">Short, B. K. (1979). The relation between commercial bank profit rates and banking concentration in Canada, Western Europe, and Japan. </w:t>
      </w:r>
      <w:r w:rsidRPr="00732397">
        <w:rPr>
          <w:i/>
          <w:iCs/>
          <w:noProof/>
        </w:rPr>
        <w:t>Journal of Banking and Finance, 3</w:t>
      </w:r>
      <w:r w:rsidRPr="00732397">
        <w:rPr>
          <w:noProof/>
        </w:rPr>
        <w:t>(3), 209-219.</w:t>
      </w:r>
    </w:p>
    <w:p w14:paraId="7E3B15F6" w14:textId="77777777" w:rsidR="00732397" w:rsidRPr="00732397" w:rsidRDefault="00732397" w:rsidP="00E62866">
      <w:pPr>
        <w:pStyle w:val="Bibliography"/>
        <w:spacing w:line="240" w:lineRule="auto"/>
        <w:ind w:left="720" w:hanging="720"/>
        <w:jc w:val="both"/>
        <w:rPr>
          <w:noProof/>
        </w:rPr>
      </w:pPr>
      <w:r w:rsidRPr="00732397">
        <w:rPr>
          <w:noProof/>
        </w:rPr>
        <w:t xml:space="preserve">Varian, V. (2000). </w:t>
      </w:r>
      <w:r w:rsidRPr="00732397">
        <w:rPr>
          <w:i/>
          <w:iCs/>
          <w:noProof/>
        </w:rPr>
        <w:t>Microeconomia:.</w:t>
      </w:r>
      <w:r w:rsidRPr="00732397">
        <w:rPr>
          <w:noProof/>
        </w:rPr>
        <w:t xml:space="preserve"> Rio de Janeiro: W. W. Norton &amp; Company.</w:t>
      </w:r>
    </w:p>
    <w:p w14:paraId="3BC685B0" w14:textId="77777777" w:rsidR="00732397" w:rsidRPr="00732397" w:rsidRDefault="00732397" w:rsidP="00E62866">
      <w:pPr>
        <w:pStyle w:val="Bibliography"/>
        <w:spacing w:line="240" w:lineRule="auto"/>
        <w:ind w:left="720" w:hanging="720"/>
        <w:jc w:val="both"/>
        <w:rPr>
          <w:noProof/>
        </w:rPr>
      </w:pPr>
      <w:r w:rsidRPr="00732397">
        <w:rPr>
          <w:noProof/>
        </w:rPr>
        <w:t xml:space="preserve">Vincent, B. &amp; David, N. (2012). The effects of credit policy on bank performance: Evidence from selected Rwandan Commercial banks. </w:t>
      </w:r>
      <w:r w:rsidRPr="00732397">
        <w:rPr>
          <w:i/>
          <w:iCs/>
          <w:noProof/>
        </w:rPr>
        <w:t>Rwanda Journal, 26</w:t>
      </w:r>
      <w:r w:rsidRPr="00732397">
        <w:rPr>
          <w:noProof/>
        </w:rPr>
        <w:t>(2), 116 - 119.</w:t>
      </w:r>
    </w:p>
    <w:p w14:paraId="4A038C93" w14:textId="77777777" w:rsidR="00732397" w:rsidRPr="00732397" w:rsidRDefault="00732397" w:rsidP="00E62866">
      <w:pPr>
        <w:pStyle w:val="Bibliography"/>
        <w:spacing w:line="240" w:lineRule="auto"/>
        <w:ind w:left="720" w:hanging="720"/>
        <w:jc w:val="both"/>
        <w:rPr>
          <w:noProof/>
        </w:rPr>
      </w:pPr>
      <w:r w:rsidRPr="00732397">
        <w:rPr>
          <w:noProof/>
        </w:rPr>
        <w:t xml:space="preserve">Vincent, O. &amp; Gemechu, B. (2013). Determinants of Financial Performance of Commercial Banks in Kenya. </w:t>
      </w:r>
      <w:r w:rsidRPr="00732397">
        <w:rPr>
          <w:i/>
          <w:iCs/>
          <w:noProof/>
        </w:rPr>
        <w:t>International Journal of Economics and Financial Issues, 3</w:t>
      </w:r>
      <w:r w:rsidRPr="00732397">
        <w:rPr>
          <w:noProof/>
        </w:rPr>
        <w:t>(1), 237-252.</w:t>
      </w:r>
    </w:p>
    <w:p w14:paraId="0534C2DD" w14:textId="77777777" w:rsidR="00732397" w:rsidRPr="00732397" w:rsidRDefault="00732397" w:rsidP="00E62866">
      <w:pPr>
        <w:pStyle w:val="Bibliography"/>
        <w:spacing w:line="240" w:lineRule="auto"/>
        <w:ind w:left="720" w:hanging="720"/>
        <w:jc w:val="both"/>
        <w:rPr>
          <w:noProof/>
        </w:rPr>
      </w:pPr>
      <w:r w:rsidRPr="00732397">
        <w:rPr>
          <w:noProof/>
        </w:rPr>
        <w:t xml:space="preserve">Waqas, T., Muhammad, U., Haseeb, Z., Inam, A., &amp; Imran, A. (2014). Determinants of Commercial Banks Profitability: Empirical Evidence from Pakistan. </w:t>
      </w:r>
      <w:r w:rsidRPr="00732397">
        <w:rPr>
          <w:i/>
          <w:iCs/>
          <w:noProof/>
        </w:rPr>
        <w:t>International Journal of Accounting and Financial Reporting, 4</w:t>
      </w:r>
      <w:r w:rsidRPr="00732397">
        <w:rPr>
          <w:noProof/>
        </w:rPr>
        <w:t>(2), 1 - 22.</w:t>
      </w:r>
    </w:p>
    <w:p w14:paraId="54245B7F" w14:textId="77777777" w:rsidR="00732397" w:rsidRPr="00732397" w:rsidRDefault="00732397" w:rsidP="00E62866">
      <w:pPr>
        <w:pStyle w:val="Bibliography"/>
        <w:spacing w:line="240" w:lineRule="auto"/>
        <w:ind w:left="720" w:hanging="720"/>
        <w:jc w:val="both"/>
        <w:rPr>
          <w:noProof/>
        </w:rPr>
      </w:pPr>
      <w:r w:rsidRPr="00732397">
        <w:rPr>
          <w:noProof/>
        </w:rPr>
        <w:t xml:space="preserve">Waseem, M.,Saleh, T. &amp; Fares, J. (2011). The Effect of Corporate Governance on the Performance of Jordanian Industrial Companies: An empirical study on Amman Stock Exchange. </w:t>
      </w:r>
      <w:r w:rsidRPr="00732397">
        <w:rPr>
          <w:i/>
          <w:iCs/>
          <w:noProof/>
        </w:rPr>
        <w:t>International Journal of Humanities and Social Science, Vol.1</w:t>
      </w:r>
      <w:r w:rsidRPr="00732397">
        <w:rPr>
          <w:noProof/>
        </w:rPr>
        <w:t>(4), PP.55 - 69.</w:t>
      </w:r>
    </w:p>
    <w:p w14:paraId="11D6EE5B" w14:textId="77777777" w:rsidR="00732397" w:rsidRPr="00732397" w:rsidRDefault="00732397" w:rsidP="00E62866">
      <w:pPr>
        <w:pStyle w:val="Bibliography"/>
        <w:spacing w:line="240" w:lineRule="auto"/>
        <w:ind w:left="720" w:hanging="720"/>
        <w:jc w:val="both"/>
        <w:rPr>
          <w:noProof/>
        </w:rPr>
      </w:pPr>
      <w:r w:rsidRPr="00732397">
        <w:rPr>
          <w:noProof/>
        </w:rPr>
        <w:t xml:space="preserve">Yount, R. (2006). </w:t>
      </w:r>
      <w:r w:rsidRPr="00732397">
        <w:rPr>
          <w:i/>
          <w:iCs/>
          <w:noProof/>
        </w:rPr>
        <w:t>Correlation Coefficients : the Meaning of Correlation.</w:t>
      </w:r>
      <w:r w:rsidRPr="00732397">
        <w:rPr>
          <w:noProof/>
        </w:rPr>
        <w:t xml:space="preserve"> Rick Yount.</w:t>
      </w:r>
    </w:p>
    <w:p w14:paraId="1A23F1E7" w14:textId="46E24EED" w:rsidR="00C9130A" w:rsidRPr="00732397" w:rsidRDefault="00732397" w:rsidP="00E62866">
      <w:pPr>
        <w:spacing w:line="240" w:lineRule="auto"/>
        <w:jc w:val="both"/>
      </w:pPr>
      <w:r w:rsidRPr="00732397">
        <w:fldChar w:fldCharType="end"/>
      </w:r>
    </w:p>
    <w:p w14:paraId="7003E4AF" w14:textId="77777777" w:rsidR="00C9130A" w:rsidRDefault="00C9130A" w:rsidP="00E62866">
      <w:pPr>
        <w:spacing w:line="240" w:lineRule="auto"/>
        <w:jc w:val="both"/>
      </w:pPr>
    </w:p>
    <w:p w14:paraId="60690F80" w14:textId="77777777" w:rsidR="00C9130A" w:rsidRDefault="00C9130A" w:rsidP="00E62866">
      <w:pPr>
        <w:spacing w:line="240" w:lineRule="auto"/>
        <w:jc w:val="both"/>
      </w:pPr>
    </w:p>
    <w:p w14:paraId="39847A24" w14:textId="77777777" w:rsidR="00C9130A" w:rsidRDefault="00C9130A" w:rsidP="00E62866">
      <w:pPr>
        <w:spacing w:line="240" w:lineRule="auto"/>
        <w:jc w:val="both"/>
      </w:pPr>
    </w:p>
    <w:p w14:paraId="2A4E8C59" w14:textId="77777777" w:rsidR="00C9130A" w:rsidRDefault="00C9130A" w:rsidP="00E62866">
      <w:pPr>
        <w:spacing w:line="240" w:lineRule="auto"/>
        <w:jc w:val="both"/>
      </w:pPr>
    </w:p>
    <w:p w14:paraId="226B00EF" w14:textId="77777777" w:rsidR="00C9130A" w:rsidRDefault="00C9130A" w:rsidP="00E62866">
      <w:pPr>
        <w:spacing w:line="240" w:lineRule="auto"/>
        <w:jc w:val="both"/>
      </w:pPr>
    </w:p>
    <w:p w14:paraId="7E0F990D" w14:textId="77777777" w:rsidR="00C9130A" w:rsidRDefault="00C9130A" w:rsidP="00E62866">
      <w:pPr>
        <w:spacing w:line="240" w:lineRule="auto"/>
        <w:jc w:val="both"/>
      </w:pPr>
    </w:p>
    <w:p w14:paraId="376F8BD2" w14:textId="77777777" w:rsidR="00C9130A" w:rsidRDefault="00C9130A" w:rsidP="00E62866">
      <w:pPr>
        <w:spacing w:line="240" w:lineRule="auto"/>
        <w:jc w:val="both"/>
      </w:pPr>
    </w:p>
    <w:p w14:paraId="4D53DA1E" w14:textId="77777777" w:rsidR="00C9130A" w:rsidRDefault="00C9130A" w:rsidP="00E62866">
      <w:pPr>
        <w:spacing w:line="240" w:lineRule="auto"/>
        <w:jc w:val="both"/>
      </w:pPr>
    </w:p>
    <w:p w14:paraId="24E3A125" w14:textId="77777777" w:rsidR="00C9130A" w:rsidRDefault="00C9130A" w:rsidP="00E62866">
      <w:pPr>
        <w:spacing w:line="240" w:lineRule="auto"/>
        <w:jc w:val="both"/>
      </w:pPr>
    </w:p>
    <w:p w14:paraId="4BA9BFAA" w14:textId="77777777" w:rsidR="00C9130A" w:rsidRDefault="00C9130A" w:rsidP="00E62866">
      <w:pPr>
        <w:spacing w:line="240" w:lineRule="auto"/>
        <w:jc w:val="both"/>
      </w:pPr>
    </w:p>
    <w:p w14:paraId="4A2AB194" w14:textId="77777777" w:rsidR="00C9130A" w:rsidRDefault="00C9130A" w:rsidP="00E62866">
      <w:pPr>
        <w:spacing w:line="240" w:lineRule="auto"/>
        <w:jc w:val="both"/>
      </w:pPr>
    </w:p>
    <w:p w14:paraId="62EB45EB" w14:textId="77777777" w:rsidR="00C9130A" w:rsidRDefault="00C9130A" w:rsidP="00E62866">
      <w:pPr>
        <w:spacing w:line="240" w:lineRule="auto"/>
        <w:jc w:val="both"/>
      </w:pPr>
    </w:p>
    <w:p w14:paraId="76E62953" w14:textId="77777777" w:rsidR="00C9130A" w:rsidRDefault="00C9130A" w:rsidP="00E62866">
      <w:pPr>
        <w:spacing w:line="240" w:lineRule="auto"/>
        <w:jc w:val="both"/>
      </w:pPr>
    </w:p>
    <w:p w14:paraId="3AB72C32" w14:textId="77777777" w:rsidR="008633D5" w:rsidRDefault="008633D5" w:rsidP="00E62866">
      <w:pPr>
        <w:spacing w:line="240" w:lineRule="auto"/>
      </w:pPr>
      <w:bookmarkStart w:id="141" w:name="_Toc341596718"/>
      <w:bookmarkStart w:id="142" w:name="_Toc363438292"/>
      <w:bookmarkStart w:id="143" w:name="_Toc382491523"/>
      <w:bookmarkStart w:id="144" w:name="_Toc399556425"/>
      <w:bookmarkStart w:id="145" w:name="_Toc418185046"/>
      <w:bookmarkStart w:id="146" w:name="_Toc429750129"/>
      <w:bookmarkStart w:id="147" w:name="_Toc441326416"/>
      <w:bookmarkStart w:id="148" w:name="_Toc364441663"/>
    </w:p>
    <w:bookmarkEnd w:id="0"/>
    <w:bookmarkEnd w:id="1"/>
    <w:bookmarkEnd w:id="75"/>
    <w:bookmarkEnd w:id="76"/>
    <w:bookmarkEnd w:id="77"/>
    <w:bookmarkEnd w:id="78"/>
    <w:bookmarkEnd w:id="79"/>
    <w:bookmarkEnd w:id="80"/>
    <w:bookmarkEnd w:id="81"/>
    <w:bookmarkEnd w:id="82"/>
    <w:bookmarkEnd w:id="141"/>
    <w:bookmarkEnd w:id="142"/>
    <w:bookmarkEnd w:id="143"/>
    <w:bookmarkEnd w:id="144"/>
    <w:bookmarkEnd w:id="145"/>
    <w:bookmarkEnd w:id="146"/>
    <w:bookmarkEnd w:id="147"/>
    <w:bookmarkEnd w:id="148"/>
    <w:p w14:paraId="16744784" w14:textId="77777777" w:rsidR="00DF1971" w:rsidRPr="00F75D6B" w:rsidRDefault="00DF1971" w:rsidP="00E62866">
      <w:pPr>
        <w:spacing w:line="240" w:lineRule="auto"/>
        <w:rPr>
          <w:b/>
          <w:sz w:val="28"/>
          <w:szCs w:val="28"/>
        </w:rPr>
      </w:pPr>
    </w:p>
    <w:sectPr w:rsidR="00DF1971" w:rsidRPr="00F75D6B" w:rsidSect="00E62866">
      <w:footerReference w:type="default" r:id="rId9"/>
      <w:foot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8E115" w14:textId="77777777" w:rsidR="00380024" w:rsidRDefault="00380024" w:rsidP="00F17550">
      <w:pPr>
        <w:spacing w:after="0" w:line="240" w:lineRule="auto"/>
      </w:pPr>
      <w:r>
        <w:separator/>
      </w:r>
    </w:p>
  </w:endnote>
  <w:endnote w:type="continuationSeparator" w:id="0">
    <w:p w14:paraId="5D259F03" w14:textId="77777777" w:rsidR="00380024" w:rsidRDefault="00380024" w:rsidP="00F17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hevin">
    <w:altName w:val="Chevi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856121"/>
      <w:docPartObj>
        <w:docPartGallery w:val="Page Numbers (Bottom of Page)"/>
        <w:docPartUnique/>
      </w:docPartObj>
    </w:sdtPr>
    <w:sdtEndPr>
      <w:rPr>
        <w:noProof/>
      </w:rPr>
    </w:sdtEndPr>
    <w:sdtContent>
      <w:p w14:paraId="56BC5A3A" w14:textId="77777777" w:rsidR="00265ABB" w:rsidRDefault="00265ABB">
        <w:pPr>
          <w:pStyle w:val="Footer"/>
          <w:jc w:val="center"/>
        </w:pPr>
        <w:r>
          <w:fldChar w:fldCharType="begin"/>
        </w:r>
        <w:r>
          <w:instrText xml:space="preserve"> PAGE   \* MERGEFORMAT </w:instrText>
        </w:r>
        <w:r>
          <w:fldChar w:fldCharType="separate"/>
        </w:r>
        <w:r w:rsidR="00277E25">
          <w:rPr>
            <w:noProof/>
          </w:rPr>
          <w:t>2</w:t>
        </w:r>
        <w:r>
          <w:rPr>
            <w:noProof/>
          </w:rPr>
          <w:fldChar w:fldCharType="end"/>
        </w:r>
      </w:p>
    </w:sdtContent>
  </w:sdt>
  <w:p w14:paraId="12DE4B86" w14:textId="77777777" w:rsidR="00265ABB" w:rsidRDefault="00265A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164729"/>
      <w:docPartObj>
        <w:docPartGallery w:val="Page Numbers (Bottom of Page)"/>
        <w:docPartUnique/>
      </w:docPartObj>
    </w:sdtPr>
    <w:sdtEndPr>
      <w:rPr>
        <w:noProof/>
      </w:rPr>
    </w:sdtEndPr>
    <w:sdtContent>
      <w:p w14:paraId="027D15E0" w14:textId="52F574E9" w:rsidR="00265ABB" w:rsidRDefault="00265ABB">
        <w:pPr>
          <w:pStyle w:val="Footer"/>
          <w:jc w:val="center"/>
        </w:pPr>
        <w:r>
          <w:fldChar w:fldCharType="begin"/>
        </w:r>
        <w:r>
          <w:instrText xml:space="preserve"> PAGE   \* MERGEFORMAT </w:instrText>
        </w:r>
        <w:r>
          <w:fldChar w:fldCharType="separate"/>
        </w:r>
        <w:r w:rsidR="00BC4EC7">
          <w:rPr>
            <w:noProof/>
          </w:rPr>
          <w:t>1</w:t>
        </w:r>
        <w:r>
          <w:rPr>
            <w:noProof/>
          </w:rPr>
          <w:fldChar w:fldCharType="end"/>
        </w:r>
      </w:p>
    </w:sdtContent>
  </w:sdt>
  <w:p w14:paraId="38BE9594" w14:textId="77777777" w:rsidR="00265ABB" w:rsidRDefault="00265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515FE" w14:textId="77777777" w:rsidR="00380024" w:rsidRDefault="00380024" w:rsidP="00F17550">
      <w:pPr>
        <w:spacing w:after="0" w:line="240" w:lineRule="auto"/>
      </w:pPr>
      <w:r>
        <w:separator/>
      </w:r>
    </w:p>
  </w:footnote>
  <w:footnote w:type="continuationSeparator" w:id="0">
    <w:p w14:paraId="0CDD9909" w14:textId="77777777" w:rsidR="00380024" w:rsidRDefault="00380024" w:rsidP="00F175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2669D"/>
    <w:multiLevelType w:val="hybridMultilevel"/>
    <w:tmpl w:val="D5A0F0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D61743"/>
    <w:multiLevelType w:val="hybridMultilevel"/>
    <w:tmpl w:val="A7D64C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1674CA"/>
    <w:multiLevelType w:val="hybridMultilevel"/>
    <w:tmpl w:val="504A8D6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B93A20"/>
    <w:multiLevelType w:val="multilevel"/>
    <w:tmpl w:val="549408D4"/>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BFF34AF"/>
    <w:multiLevelType w:val="hybridMultilevel"/>
    <w:tmpl w:val="12824942"/>
    <w:lvl w:ilvl="0" w:tplc="A44CA4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8C3391"/>
    <w:multiLevelType w:val="hybridMultilevel"/>
    <w:tmpl w:val="78944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C6180A"/>
    <w:multiLevelType w:val="multilevel"/>
    <w:tmpl w:val="B15476EC"/>
    <w:lvl w:ilvl="0">
      <w:start w:val="1"/>
      <w:numFmt w:val="decimal"/>
      <w:lvlText w:val="%1."/>
      <w:lvlJc w:val="left"/>
      <w:pPr>
        <w:ind w:left="72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8AE2AEF"/>
    <w:multiLevelType w:val="multilevel"/>
    <w:tmpl w:val="812CDB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8EB5ACC"/>
    <w:multiLevelType w:val="multilevel"/>
    <w:tmpl w:val="129EA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A952947"/>
    <w:multiLevelType w:val="hybridMultilevel"/>
    <w:tmpl w:val="8058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B80DBD"/>
    <w:multiLevelType w:val="hybridMultilevel"/>
    <w:tmpl w:val="6B365C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916E85"/>
    <w:multiLevelType w:val="multilevel"/>
    <w:tmpl w:val="6BC617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917A1"/>
    <w:multiLevelType w:val="hybridMultilevel"/>
    <w:tmpl w:val="7EC0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D482A"/>
    <w:multiLevelType w:val="hybridMultilevel"/>
    <w:tmpl w:val="118A62F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2A477F8">
      <w:start w:val="6"/>
      <w:numFmt w:val="decimal"/>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A661A"/>
    <w:multiLevelType w:val="hybridMultilevel"/>
    <w:tmpl w:val="8654AA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04948F4"/>
    <w:multiLevelType w:val="multilevel"/>
    <w:tmpl w:val="1F6846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54B5A55"/>
    <w:multiLevelType w:val="multilevel"/>
    <w:tmpl w:val="71D22564"/>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56442B2A"/>
    <w:multiLevelType w:val="hybridMultilevel"/>
    <w:tmpl w:val="6B365C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A819D2"/>
    <w:multiLevelType w:val="hybridMultilevel"/>
    <w:tmpl w:val="3E48D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CFA1D7E"/>
    <w:multiLevelType w:val="hybridMultilevel"/>
    <w:tmpl w:val="6B365C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60137F"/>
    <w:multiLevelType w:val="multilevel"/>
    <w:tmpl w:val="3EAE09F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E209DB"/>
    <w:multiLevelType w:val="hybridMultilevel"/>
    <w:tmpl w:val="6B365C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F23C55"/>
    <w:multiLevelType w:val="hybridMultilevel"/>
    <w:tmpl w:val="B6EE43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19D518D"/>
    <w:multiLevelType w:val="hybridMultilevel"/>
    <w:tmpl w:val="969438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28539F3"/>
    <w:multiLevelType w:val="hybridMultilevel"/>
    <w:tmpl w:val="A4D85A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5BC7A27"/>
    <w:multiLevelType w:val="hybridMultilevel"/>
    <w:tmpl w:val="1BA6F16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4507B5"/>
    <w:multiLevelType w:val="multilevel"/>
    <w:tmpl w:val="9C32DB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6"/>
  </w:num>
  <w:num w:numId="4">
    <w:abstractNumId w:val="26"/>
  </w:num>
  <w:num w:numId="5">
    <w:abstractNumId w:val="11"/>
  </w:num>
  <w:num w:numId="6">
    <w:abstractNumId w:val="14"/>
  </w:num>
  <w:num w:numId="7">
    <w:abstractNumId w:val="20"/>
  </w:num>
  <w:num w:numId="8">
    <w:abstractNumId w:val="7"/>
  </w:num>
  <w:num w:numId="9">
    <w:abstractNumId w:val="21"/>
  </w:num>
  <w:num w:numId="10">
    <w:abstractNumId w:val="19"/>
  </w:num>
  <w:num w:numId="11">
    <w:abstractNumId w:val="10"/>
  </w:num>
  <w:num w:numId="12">
    <w:abstractNumId w:val="1"/>
  </w:num>
  <w:num w:numId="13">
    <w:abstractNumId w:val="0"/>
  </w:num>
  <w:num w:numId="14">
    <w:abstractNumId w:val="22"/>
  </w:num>
  <w:num w:numId="15">
    <w:abstractNumId w:val="25"/>
  </w:num>
  <w:num w:numId="16">
    <w:abstractNumId w:val="23"/>
  </w:num>
  <w:num w:numId="17">
    <w:abstractNumId w:val="24"/>
  </w:num>
  <w:num w:numId="18">
    <w:abstractNumId w:val="18"/>
  </w:num>
  <w:num w:numId="19">
    <w:abstractNumId w:val="2"/>
  </w:num>
  <w:num w:numId="20">
    <w:abstractNumId w:val="4"/>
  </w:num>
  <w:num w:numId="21">
    <w:abstractNumId w:val="13"/>
  </w:num>
  <w:num w:numId="22">
    <w:abstractNumId w:val="17"/>
  </w:num>
  <w:num w:numId="23">
    <w:abstractNumId w:val="8"/>
  </w:num>
  <w:num w:numId="24">
    <w:abstractNumId w:val="12"/>
  </w:num>
  <w:num w:numId="25">
    <w:abstractNumId w:val="9"/>
  </w:num>
  <w:num w:numId="26">
    <w:abstractNumId w:val="1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B2"/>
    <w:rsid w:val="00003E5D"/>
    <w:rsid w:val="00005423"/>
    <w:rsid w:val="000110F1"/>
    <w:rsid w:val="00016318"/>
    <w:rsid w:val="00020DC5"/>
    <w:rsid w:val="000310E3"/>
    <w:rsid w:val="00032267"/>
    <w:rsid w:val="0003284E"/>
    <w:rsid w:val="00036289"/>
    <w:rsid w:val="00037CB7"/>
    <w:rsid w:val="000649CF"/>
    <w:rsid w:val="00067B63"/>
    <w:rsid w:val="00072CE1"/>
    <w:rsid w:val="000747AE"/>
    <w:rsid w:val="00074BC5"/>
    <w:rsid w:val="000A1082"/>
    <w:rsid w:val="000A372A"/>
    <w:rsid w:val="000A59D8"/>
    <w:rsid w:val="000B391D"/>
    <w:rsid w:val="000B5AE0"/>
    <w:rsid w:val="000B7E88"/>
    <w:rsid w:val="000C1085"/>
    <w:rsid w:val="000C454B"/>
    <w:rsid w:val="000D4E0E"/>
    <w:rsid w:val="000E0E30"/>
    <w:rsid w:val="000E50DA"/>
    <w:rsid w:val="000E6804"/>
    <w:rsid w:val="000E762A"/>
    <w:rsid w:val="000F0512"/>
    <w:rsid w:val="0010569B"/>
    <w:rsid w:val="00110ADA"/>
    <w:rsid w:val="001208FD"/>
    <w:rsid w:val="00123523"/>
    <w:rsid w:val="0014353F"/>
    <w:rsid w:val="00170926"/>
    <w:rsid w:val="0017473B"/>
    <w:rsid w:val="0018229E"/>
    <w:rsid w:val="001C166C"/>
    <w:rsid w:val="001C32AD"/>
    <w:rsid w:val="001C6CCA"/>
    <w:rsid w:val="001D3B45"/>
    <w:rsid w:val="001D44E0"/>
    <w:rsid w:val="001D6654"/>
    <w:rsid w:val="001D6D65"/>
    <w:rsid w:val="001D7295"/>
    <w:rsid w:val="001D7A40"/>
    <w:rsid w:val="001E4BA0"/>
    <w:rsid w:val="001F696F"/>
    <w:rsid w:val="00200A44"/>
    <w:rsid w:val="0021097E"/>
    <w:rsid w:val="00214867"/>
    <w:rsid w:val="002207C2"/>
    <w:rsid w:val="00227248"/>
    <w:rsid w:val="00231667"/>
    <w:rsid w:val="00245E89"/>
    <w:rsid w:val="00263F36"/>
    <w:rsid w:val="00265ABB"/>
    <w:rsid w:val="00267110"/>
    <w:rsid w:val="00272D76"/>
    <w:rsid w:val="00273040"/>
    <w:rsid w:val="00277E25"/>
    <w:rsid w:val="00283EAB"/>
    <w:rsid w:val="002A055D"/>
    <w:rsid w:val="002A474F"/>
    <w:rsid w:val="002B646E"/>
    <w:rsid w:val="002B7B34"/>
    <w:rsid w:val="002D27A5"/>
    <w:rsid w:val="002D420B"/>
    <w:rsid w:val="002E55AF"/>
    <w:rsid w:val="002E777C"/>
    <w:rsid w:val="002F2BA0"/>
    <w:rsid w:val="002F679C"/>
    <w:rsid w:val="003004D3"/>
    <w:rsid w:val="00310F80"/>
    <w:rsid w:val="00316D6B"/>
    <w:rsid w:val="00317BF7"/>
    <w:rsid w:val="00317D5F"/>
    <w:rsid w:val="0032238E"/>
    <w:rsid w:val="003243AF"/>
    <w:rsid w:val="00331952"/>
    <w:rsid w:val="003333D0"/>
    <w:rsid w:val="00334043"/>
    <w:rsid w:val="00351953"/>
    <w:rsid w:val="003532CF"/>
    <w:rsid w:val="00356AFE"/>
    <w:rsid w:val="00361283"/>
    <w:rsid w:val="003645CD"/>
    <w:rsid w:val="00367D20"/>
    <w:rsid w:val="003700FC"/>
    <w:rsid w:val="00380024"/>
    <w:rsid w:val="00381943"/>
    <w:rsid w:val="0038558D"/>
    <w:rsid w:val="00392455"/>
    <w:rsid w:val="003A275E"/>
    <w:rsid w:val="003C1C7A"/>
    <w:rsid w:val="003D0608"/>
    <w:rsid w:val="003F2F5F"/>
    <w:rsid w:val="003F763D"/>
    <w:rsid w:val="00406B9B"/>
    <w:rsid w:val="00406F50"/>
    <w:rsid w:val="00410591"/>
    <w:rsid w:val="0041584A"/>
    <w:rsid w:val="0042124A"/>
    <w:rsid w:val="004225D0"/>
    <w:rsid w:val="00444CBF"/>
    <w:rsid w:val="00455005"/>
    <w:rsid w:val="00462DC1"/>
    <w:rsid w:val="00472C53"/>
    <w:rsid w:val="00487D10"/>
    <w:rsid w:val="00496229"/>
    <w:rsid w:val="00497504"/>
    <w:rsid w:val="004A1244"/>
    <w:rsid w:val="004B3F1E"/>
    <w:rsid w:val="004C7C03"/>
    <w:rsid w:val="004D2212"/>
    <w:rsid w:val="004D33CB"/>
    <w:rsid w:val="004E3ACC"/>
    <w:rsid w:val="004F338D"/>
    <w:rsid w:val="005111AE"/>
    <w:rsid w:val="00513AA2"/>
    <w:rsid w:val="00525F1D"/>
    <w:rsid w:val="00526505"/>
    <w:rsid w:val="005278CA"/>
    <w:rsid w:val="0053269C"/>
    <w:rsid w:val="0053388E"/>
    <w:rsid w:val="00553A51"/>
    <w:rsid w:val="00556A18"/>
    <w:rsid w:val="00567BD4"/>
    <w:rsid w:val="00573D97"/>
    <w:rsid w:val="005819D2"/>
    <w:rsid w:val="00583760"/>
    <w:rsid w:val="00585382"/>
    <w:rsid w:val="005869A4"/>
    <w:rsid w:val="00586B08"/>
    <w:rsid w:val="00586D28"/>
    <w:rsid w:val="00587940"/>
    <w:rsid w:val="00592018"/>
    <w:rsid w:val="005A577D"/>
    <w:rsid w:val="005A7FE9"/>
    <w:rsid w:val="005B7299"/>
    <w:rsid w:val="005C3CDC"/>
    <w:rsid w:val="005C3D05"/>
    <w:rsid w:val="005C7754"/>
    <w:rsid w:val="005C7AC4"/>
    <w:rsid w:val="005E5AE7"/>
    <w:rsid w:val="005F1B4C"/>
    <w:rsid w:val="005F4BD3"/>
    <w:rsid w:val="0061278C"/>
    <w:rsid w:val="006147BE"/>
    <w:rsid w:val="006155D3"/>
    <w:rsid w:val="006249B1"/>
    <w:rsid w:val="00655CF4"/>
    <w:rsid w:val="006562F6"/>
    <w:rsid w:val="006626D0"/>
    <w:rsid w:val="0068577A"/>
    <w:rsid w:val="00694E0C"/>
    <w:rsid w:val="006953DD"/>
    <w:rsid w:val="006C53A6"/>
    <w:rsid w:val="006D07AD"/>
    <w:rsid w:val="006D4C86"/>
    <w:rsid w:val="006F4DD2"/>
    <w:rsid w:val="007023F6"/>
    <w:rsid w:val="00714EA4"/>
    <w:rsid w:val="00716014"/>
    <w:rsid w:val="00727282"/>
    <w:rsid w:val="00732397"/>
    <w:rsid w:val="0073315C"/>
    <w:rsid w:val="00760A48"/>
    <w:rsid w:val="007628E8"/>
    <w:rsid w:val="007714D8"/>
    <w:rsid w:val="0078041F"/>
    <w:rsid w:val="007A0172"/>
    <w:rsid w:val="007B3F98"/>
    <w:rsid w:val="007D14D0"/>
    <w:rsid w:val="007D2E44"/>
    <w:rsid w:val="007D4863"/>
    <w:rsid w:val="007E2C98"/>
    <w:rsid w:val="007E4C53"/>
    <w:rsid w:val="008102AF"/>
    <w:rsid w:val="008120F5"/>
    <w:rsid w:val="008133A6"/>
    <w:rsid w:val="00815D6E"/>
    <w:rsid w:val="008263E0"/>
    <w:rsid w:val="00841E39"/>
    <w:rsid w:val="00851FE6"/>
    <w:rsid w:val="0086223D"/>
    <w:rsid w:val="008633D5"/>
    <w:rsid w:val="0086447E"/>
    <w:rsid w:val="0086608B"/>
    <w:rsid w:val="0087324B"/>
    <w:rsid w:val="008811D5"/>
    <w:rsid w:val="008971AE"/>
    <w:rsid w:val="008A0A16"/>
    <w:rsid w:val="008A42FE"/>
    <w:rsid w:val="008C47B9"/>
    <w:rsid w:val="008C51B1"/>
    <w:rsid w:val="008C537B"/>
    <w:rsid w:val="008C5D00"/>
    <w:rsid w:val="008D1E91"/>
    <w:rsid w:val="008E0659"/>
    <w:rsid w:val="008E0D19"/>
    <w:rsid w:val="008E1181"/>
    <w:rsid w:val="00901A35"/>
    <w:rsid w:val="00937451"/>
    <w:rsid w:val="0094235F"/>
    <w:rsid w:val="0094395A"/>
    <w:rsid w:val="00944883"/>
    <w:rsid w:val="00945113"/>
    <w:rsid w:val="009469DC"/>
    <w:rsid w:val="00947AC5"/>
    <w:rsid w:val="00947C40"/>
    <w:rsid w:val="0095337E"/>
    <w:rsid w:val="00954589"/>
    <w:rsid w:val="00955A96"/>
    <w:rsid w:val="00960463"/>
    <w:rsid w:val="00962481"/>
    <w:rsid w:val="009703AE"/>
    <w:rsid w:val="00970A0B"/>
    <w:rsid w:val="009716C4"/>
    <w:rsid w:val="00976F30"/>
    <w:rsid w:val="00980335"/>
    <w:rsid w:val="009940FD"/>
    <w:rsid w:val="00994E5E"/>
    <w:rsid w:val="00997021"/>
    <w:rsid w:val="009A2E3F"/>
    <w:rsid w:val="009A68DA"/>
    <w:rsid w:val="009B28F3"/>
    <w:rsid w:val="009B7529"/>
    <w:rsid w:val="009C087B"/>
    <w:rsid w:val="009E036A"/>
    <w:rsid w:val="009E27F6"/>
    <w:rsid w:val="00A064E8"/>
    <w:rsid w:val="00A15C4E"/>
    <w:rsid w:val="00A23E3C"/>
    <w:rsid w:val="00A26A6B"/>
    <w:rsid w:val="00A27C4F"/>
    <w:rsid w:val="00A31E01"/>
    <w:rsid w:val="00A4111B"/>
    <w:rsid w:val="00A41B35"/>
    <w:rsid w:val="00A65101"/>
    <w:rsid w:val="00A70E12"/>
    <w:rsid w:val="00A74E6E"/>
    <w:rsid w:val="00A75DF0"/>
    <w:rsid w:val="00A81ABF"/>
    <w:rsid w:val="00A82CE5"/>
    <w:rsid w:val="00AA6EF5"/>
    <w:rsid w:val="00AA7259"/>
    <w:rsid w:val="00AC0749"/>
    <w:rsid w:val="00AC4566"/>
    <w:rsid w:val="00AC55C4"/>
    <w:rsid w:val="00AC6F0D"/>
    <w:rsid w:val="00AD3FB9"/>
    <w:rsid w:val="00AE3A04"/>
    <w:rsid w:val="00AF17E0"/>
    <w:rsid w:val="00AF2F9A"/>
    <w:rsid w:val="00AF5E17"/>
    <w:rsid w:val="00B2253B"/>
    <w:rsid w:val="00B31C1A"/>
    <w:rsid w:val="00B42299"/>
    <w:rsid w:val="00B512FE"/>
    <w:rsid w:val="00B71EC4"/>
    <w:rsid w:val="00B770F6"/>
    <w:rsid w:val="00B862AE"/>
    <w:rsid w:val="00B922F8"/>
    <w:rsid w:val="00B94B61"/>
    <w:rsid w:val="00B9501B"/>
    <w:rsid w:val="00BA2507"/>
    <w:rsid w:val="00BA41CA"/>
    <w:rsid w:val="00BB204C"/>
    <w:rsid w:val="00BC4EC7"/>
    <w:rsid w:val="00BD06D7"/>
    <w:rsid w:val="00BD377D"/>
    <w:rsid w:val="00BE1ACB"/>
    <w:rsid w:val="00BE5861"/>
    <w:rsid w:val="00C025D6"/>
    <w:rsid w:val="00C100FF"/>
    <w:rsid w:val="00C10583"/>
    <w:rsid w:val="00C17F0B"/>
    <w:rsid w:val="00C20951"/>
    <w:rsid w:val="00C24DE0"/>
    <w:rsid w:val="00C35988"/>
    <w:rsid w:val="00C431B2"/>
    <w:rsid w:val="00C45B36"/>
    <w:rsid w:val="00C502CF"/>
    <w:rsid w:val="00C61B11"/>
    <w:rsid w:val="00C6226F"/>
    <w:rsid w:val="00C622E8"/>
    <w:rsid w:val="00C62B09"/>
    <w:rsid w:val="00C63DE1"/>
    <w:rsid w:val="00C642EF"/>
    <w:rsid w:val="00C6538D"/>
    <w:rsid w:val="00C6652C"/>
    <w:rsid w:val="00C708F0"/>
    <w:rsid w:val="00C75F86"/>
    <w:rsid w:val="00C83E6A"/>
    <w:rsid w:val="00C9130A"/>
    <w:rsid w:val="00C95C0B"/>
    <w:rsid w:val="00CB4603"/>
    <w:rsid w:val="00CD0B76"/>
    <w:rsid w:val="00CE0043"/>
    <w:rsid w:val="00D02CD9"/>
    <w:rsid w:val="00D202AC"/>
    <w:rsid w:val="00D35D38"/>
    <w:rsid w:val="00D43F8C"/>
    <w:rsid w:val="00D548DC"/>
    <w:rsid w:val="00D779F4"/>
    <w:rsid w:val="00D8513C"/>
    <w:rsid w:val="00D900B8"/>
    <w:rsid w:val="00D904A9"/>
    <w:rsid w:val="00D90C12"/>
    <w:rsid w:val="00D912D9"/>
    <w:rsid w:val="00D94686"/>
    <w:rsid w:val="00DA006E"/>
    <w:rsid w:val="00DA0691"/>
    <w:rsid w:val="00DA0BE9"/>
    <w:rsid w:val="00DA138A"/>
    <w:rsid w:val="00DC3A98"/>
    <w:rsid w:val="00DE37E7"/>
    <w:rsid w:val="00DE560D"/>
    <w:rsid w:val="00DF1971"/>
    <w:rsid w:val="00E015BC"/>
    <w:rsid w:val="00E04C29"/>
    <w:rsid w:val="00E450CF"/>
    <w:rsid w:val="00E45362"/>
    <w:rsid w:val="00E53B12"/>
    <w:rsid w:val="00E57490"/>
    <w:rsid w:val="00E62866"/>
    <w:rsid w:val="00E64B67"/>
    <w:rsid w:val="00E82CBE"/>
    <w:rsid w:val="00E94CE5"/>
    <w:rsid w:val="00E94D55"/>
    <w:rsid w:val="00E95123"/>
    <w:rsid w:val="00E95877"/>
    <w:rsid w:val="00EB4A1C"/>
    <w:rsid w:val="00EC33EB"/>
    <w:rsid w:val="00EC56FC"/>
    <w:rsid w:val="00ED565E"/>
    <w:rsid w:val="00EE3B24"/>
    <w:rsid w:val="00EE7720"/>
    <w:rsid w:val="00EF52A6"/>
    <w:rsid w:val="00EF6959"/>
    <w:rsid w:val="00EF6B32"/>
    <w:rsid w:val="00F063C1"/>
    <w:rsid w:val="00F11AFD"/>
    <w:rsid w:val="00F17550"/>
    <w:rsid w:val="00F26884"/>
    <w:rsid w:val="00F36AFA"/>
    <w:rsid w:val="00F40975"/>
    <w:rsid w:val="00F477B9"/>
    <w:rsid w:val="00F51F4B"/>
    <w:rsid w:val="00F5336A"/>
    <w:rsid w:val="00F57BC7"/>
    <w:rsid w:val="00F61B73"/>
    <w:rsid w:val="00F63A3E"/>
    <w:rsid w:val="00F753CD"/>
    <w:rsid w:val="00F75D6B"/>
    <w:rsid w:val="00F81C6A"/>
    <w:rsid w:val="00F83405"/>
    <w:rsid w:val="00F848DF"/>
    <w:rsid w:val="00F87C2B"/>
    <w:rsid w:val="00F90BA4"/>
    <w:rsid w:val="00F91378"/>
    <w:rsid w:val="00F91BD4"/>
    <w:rsid w:val="00FC12CE"/>
    <w:rsid w:val="00FC15C3"/>
    <w:rsid w:val="00FD0163"/>
    <w:rsid w:val="00FD250B"/>
    <w:rsid w:val="00FD594F"/>
    <w:rsid w:val="00FE34A5"/>
    <w:rsid w:val="00FE3A23"/>
    <w:rsid w:val="00FE52F7"/>
    <w:rsid w:val="00FE5B9B"/>
    <w:rsid w:val="00FF2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31048"/>
  <w15:chartTrackingRefBased/>
  <w15:docId w15:val="{EE8705AE-0612-4254-8360-3444A396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1B2"/>
    <w:pPr>
      <w:spacing w:after="200" w:line="276" w:lineRule="auto"/>
    </w:pPr>
  </w:style>
  <w:style w:type="paragraph" w:styleId="Heading1">
    <w:name w:val="heading 1"/>
    <w:basedOn w:val="Normal"/>
    <w:next w:val="Normal"/>
    <w:link w:val="Heading1Char"/>
    <w:uiPriority w:val="99"/>
    <w:qFormat/>
    <w:rsid w:val="000E76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F75D6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B9501B"/>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B9501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31B2"/>
    <w:pPr>
      <w:spacing w:after="0" w:line="240" w:lineRule="auto"/>
    </w:pPr>
    <w:rPr>
      <w:rFonts w:ascii="Calibri" w:eastAsia="Calibri" w:hAnsi="Calibri"/>
    </w:rPr>
  </w:style>
  <w:style w:type="character" w:customStyle="1" w:styleId="NoSpacingChar">
    <w:name w:val="No Spacing Char"/>
    <w:basedOn w:val="DefaultParagraphFont"/>
    <w:link w:val="NoSpacing"/>
    <w:uiPriority w:val="1"/>
    <w:rsid w:val="00C431B2"/>
    <w:rPr>
      <w:rFonts w:ascii="Calibri" w:eastAsia="Calibri" w:hAnsi="Calibri" w:cs="Times New Roman"/>
    </w:rPr>
  </w:style>
  <w:style w:type="character" w:customStyle="1" w:styleId="apple-converted-space">
    <w:name w:val="apple-converted-space"/>
    <w:rsid w:val="00ED565E"/>
  </w:style>
  <w:style w:type="character" w:customStyle="1" w:styleId="Heading2Char">
    <w:name w:val="Heading 2 Char"/>
    <w:basedOn w:val="DefaultParagraphFont"/>
    <w:link w:val="Heading2"/>
    <w:uiPriority w:val="9"/>
    <w:rsid w:val="00F75D6B"/>
    <w:rPr>
      <w:rFonts w:ascii="Arial" w:eastAsia="Calibri" w:hAnsi="Arial" w:cs="Arial"/>
      <w:b/>
      <w:bCs/>
      <w:i/>
      <w:iCs/>
      <w:sz w:val="28"/>
      <w:szCs w:val="28"/>
    </w:rPr>
  </w:style>
  <w:style w:type="paragraph" w:styleId="NormalWeb">
    <w:name w:val="Normal (Web)"/>
    <w:basedOn w:val="Normal"/>
    <w:link w:val="NormalWebChar"/>
    <w:uiPriority w:val="99"/>
    <w:unhideWhenUsed/>
    <w:rsid w:val="00F75D6B"/>
    <w:pPr>
      <w:spacing w:before="100" w:beforeAutospacing="1" w:after="100" w:afterAutospacing="1" w:line="240" w:lineRule="auto"/>
    </w:pPr>
    <w:rPr>
      <w:rFonts w:eastAsia="Times New Roman"/>
    </w:rPr>
  </w:style>
  <w:style w:type="character" w:customStyle="1" w:styleId="NormalWebChar">
    <w:name w:val="Normal (Web) Char"/>
    <w:link w:val="NormalWeb"/>
    <w:uiPriority w:val="99"/>
    <w:rsid w:val="00F75D6B"/>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E762A"/>
    <w:rPr>
      <w:rFonts w:asciiTheme="majorHAnsi" w:eastAsiaTheme="majorEastAsia" w:hAnsiTheme="majorHAnsi" w:cstheme="majorBidi"/>
      <w:color w:val="2E74B5" w:themeColor="accent1" w:themeShade="BF"/>
      <w:sz w:val="32"/>
      <w:szCs w:val="32"/>
    </w:rPr>
  </w:style>
  <w:style w:type="character" w:customStyle="1" w:styleId="Heading1Char1">
    <w:name w:val="Heading 1 Char1"/>
    <w:rsid w:val="000E762A"/>
    <w:rPr>
      <w:rFonts w:ascii="Arial" w:eastAsia="Times New Roman" w:hAnsi="Arial" w:cs="Times New Roman"/>
      <w:b/>
      <w:bCs/>
      <w:kern w:val="32"/>
      <w:sz w:val="32"/>
      <w:szCs w:val="32"/>
      <w:lang w:val="en-GB" w:eastAsia="en-GB"/>
    </w:rPr>
  </w:style>
  <w:style w:type="character" w:styleId="Hyperlink">
    <w:name w:val="Hyperlink"/>
    <w:uiPriority w:val="99"/>
    <w:unhideWhenUsed/>
    <w:rsid w:val="000E762A"/>
    <w:rPr>
      <w:color w:val="0000FF"/>
      <w:u w:val="single"/>
    </w:rPr>
  </w:style>
  <w:style w:type="paragraph" w:styleId="TOC1">
    <w:name w:val="toc 1"/>
    <w:basedOn w:val="Normal"/>
    <w:next w:val="Normal"/>
    <w:autoRedefine/>
    <w:uiPriority w:val="39"/>
    <w:unhideWhenUsed/>
    <w:rsid w:val="000E762A"/>
    <w:pPr>
      <w:tabs>
        <w:tab w:val="right" w:leader="dot" w:pos="9350"/>
      </w:tabs>
      <w:spacing w:after="0" w:line="360" w:lineRule="auto"/>
      <w:ind w:left="90"/>
      <w:jc w:val="center"/>
    </w:pPr>
    <w:rPr>
      <w:noProof/>
    </w:rPr>
  </w:style>
  <w:style w:type="paragraph" w:styleId="TOC2">
    <w:name w:val="toc 2"/>
    <w:basedOn w:val="Normal"/>
    <w:next w:val="Normal"/>
    <w:autoRedefine/>
    <w:uiPriority w:val="39"/>
    <w:unhideWhenUsed/>
    <w:rsid w:val="000E762A"/>
    <w:pPr>
      <w:tabs>
        <w:tab w:val="right" w:leader="dot" w:pos="9350"/>
      </w:tabs>
      <w:spacing w:after="0" w:line="360" w:lineRule="auto"/>
      <w:ind w:left="220"/>
    </w:pPr>
  </w:style>
  <w:style w:type="paragraph" w:styleId="TOC3">
    <w:name w:val="toc 3"/>
    <w:basedOn w:val="Normal"/>
    <w:next w:val="Normal"/>
    <w:autoRedefine/>
    <w:uiPriority w:val="39"/>
    <w:unhideWhenUsed/>
    <w:rsid w:val="000E762A"/>
    <w:pPr>
      <w:tabs>
        <w:tab w:val="left" w:pos="1320"/>
        <w:tab w:val="right" w:leader="dot" w:pos="9350"/>
      </w:tabs>
      <w:spacing w:after="0" w:line="360" w:lineRule="auto"/>
      <w:ind w:left="446"/>
      <w:contextualSpacing/>
    </w:pPr>
  </w:style>
  <w:style w:type="paragraph" w:styleId="TableofFigures">
    <w:name w:val="table of figures"/>
    <w:basedOn w:val="Normal"/>
    <w:next w:val="Normal"/>
    <w:autoRedefine/>
    <w:uiPriority w:val="99"/>
    <w:unhideWhenUsed/>
    <w:rsid w:val="000E762A"/>
    <w:pPr>
      <w:spacing w:after="0"/>
      <w:ind w:left="440" w:hanging="440"/>
    </w:pPr>
    <w:rPr>
      <w:rFonts w:asciiTheme="minorHAnsi" w:hAnsiTheme="minorHAnsi"/>
      <w:smallCaps/>
      <w:sz w:val="20"/>
      <w:szCs w:val="20"/>
    </w:rPr>
  </w:style>
  <w:style w:type="paragraph" w:styleId="TOCHeading">
    <w:name w:val="TOC Heading"/>
    <w:basedOn w:val="Heading1"/>
    <w:next w:val="Normal"/>
    <w:uiPriority w:val="39"/>
    <w:unhideWhenUsed/>
    <w:qFormat/>
    <w:rsid w:val="000E762A"/>
    <w:pPr>
      <w:spacing w:before="480"/>
      <w:outlineLvl w:val="9"/>
    </w:pPr>
    <w:rPr>
      <w:rFonts w:ascii="Cambria" w:eastAsia="Times New Roman" w:hAnsi="Cambria" w:cs="Times New Roman"/>
      <w:b/>
      <w:bCs/>
      <w:color w:val="365F91"/>
      <w:sz w:val="28"/>
      <w:szCs w:val="28"/>
    </w:rPr>
  </w:style>
  <w:style w:type="paragraph" w:styleId="ListParagraph">
    <w:name w:val="List Paragraph"/>
    <w:basedOn w:val="Normal"/>
    <w:link w:val="ListParagraphChar"/>
    <w:uiPriority w:val="34"/>
    <w:qFormat/>
    <w:rsid w:val="00DF1971"/>
    <w:pPr>
      <w:ind w:left="720"/>
      <w:contextualSpacing/>
    </w:pPr>
  </w:style>
  <w:style w:type="paragraph" w:styleId="Caption">
    <w:name w:val="caption"/>
    <w:aliases w:val="Figures"/>
    <w:basedOn w:val="Normal"/>
    <w:next w:val="Normal"/>
    <w:link w:val="CaptionChar"/>
    <w:qFormat/>
    <w:rsid w:val="00EC56FC"/>
    <w:pPr>
      <w:spacing w:line="360" w:lineRule="auto"/>
    </w:pPr>
    <w:rPr>
      <w:rFonts w:eastAsia="Times New Roman"/>
      <w:bCs/>
      <w:szCs w:val="18"/>
    </w:rPr>
  </w:style>
  <w:style w:type="paragraph" w:customStyle="1" w:styleId="Default">
    <w:name w:val="Default"/>
    <w:rsid w:val="00EC56FC"/>
    <w:pPr>
      <w:autoSpaceDE w:val="0"/>
      <w:autoSpaceDN w:val="0"/>
      <w:adjustRightInd w:val="0"/>
      <w:spacing w:after="0" w:line="240" w:lineRule="auto"/>
    </w:pPr>
    <w:rPr>
      <w:rFonts w:eastAsia="Calibri"/>
      <w:color w:val="000000"/>
    </w:rPr>
  </w:style>
  <w:style w:type="character" w:customStyle="1" w:styleId="ListParagraphChar">
    <w:name w:val="List Paragraph Char"/>
    <w:link w:val="ListParagraph"/>
    <w:uiPriority w:val="34"/>
    <w:locked/>
    <w:rsid w:val="00EC56FC"/>
    <w:rPr>
      <w:rFonts w:ascii="Calibri" w:eastAsia="Calibri" w:hAnsi="Calibri" w:cs="Times New Roman"/>
    </w:rPr>
  </w:style>
  <w:style w:type="character" w:styleId="CommentReference">
    <w:name w:val="annotation reference"/>
    <w:basedOn w:val="DefaultParagraphFont"/>
    <w:uiPriority w:val="99"/>
    <w:semiHidden/>
    <w:unhideWhenUsed/>
    <w:rsid w:val="005B7299"/>
    <w:rPr>
      <w:sz w:val="16"/>
      <w:szCs w:val="16"/>
    </w:rPr>
  </w:style>
  <w:style w:type="paragraph" w:styleId="CommentText">
    <w:name w:val="annotation text"/>
    <w:basedOn w:val="Normal"/>
    <w:link w:val="CommentTextChar"/>
    <w:uiPriority w:val="99"/>
    <w:semiHidden/>
    <w:unhideWhenUsed/>
    <w:rsid w:val="005B7299"/>
    <w:pPr>
      <w:spacing w:line="240" w:lineRule="auto"/>
    </w:pPr>
    <w:rPr>
      <w:sz w:val="20"/>
      <w:szCs w:val="20"/>
    </w:rPr>
  </w:style>
  <w:style w:type="character" w:customStyle="1" w:styleId="CommentTextChar">
    <w:name w:val="Comment Text Char"/>
    <w:basedOn w:val="DefaultParagraphFont"/>
    <w:link w:val="CommentText"/>
    <w:uiPriority w:val="99"/>
    <w:semiHidden/>
    <w:rsid w:val="005B72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B7299"/>
    <w:rPr>
      <w:b/>
      <w:bCs/>
    </w:rPr>
  </w:style>
  <w:style w:type="character" w:customStyle="1" w:styleId="CommentSubjectChar">
    <w:name w:val="Comment Subject Char"/>
    <w:basedOn w:val="CommentTextChar"/>
    <w:link w:val="CommentSubject"/>
    <w:uiPriority w:val="99"/>
    <w:semiHidden/>
    <w:rsid w:val="005B7299"/>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5B72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299"/>
    <w:rPr>
      <w:rFonts w:ascii="Segoe UI" w:eastAsia="Calibri" w:hAnsi="Segoe UI" w:cs="Segoe UI"/>
      <w:sz w:val="18"/>
      <w:szCs w:val="18"/>
    </w:rPr>
  </w:style>
  <w:style w:type="character" w:customStyle="1" w:styleId="Heading3Char">
    <w:name w:val="Heading 3 Char"/>
    <w:basedOn w:val="DefaultParagraphFont"/>
    <w:link w:val="Heading3"/>
    <w:uiPriority w:val="9"/>
    <w:rsid w:val="00B9501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9501B"/>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F175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7550"/>
    <w:rPr>
      <w:rFonts w:ascii="Calibri" w:eastAsia="Calibri" w:hAnsi="Calibri" w:cs="Times New Roman"/>
    </w:rPr>
  </w:style>
  <w:style w:type="paragraph" w:styleId="Footer">
    <w:name w:val="footer"/>
    <w:basedOn w:val="Normal"/>
    <w:link w:val="FooterChar"/>
    <w:uiPriority w:val="99"/>
    <w:unhideWhenUsed/>
    <w:rsid w:val="00F175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7550"/>
    <w:rPr>
      <w:rFonts w:ascii="Calibri" w:eastAsia="Calibri" w:hAnsi="Calibri" w:cs="Times New Roman"/>
    </w:rPr>
  </w:style>
  <w:style w:type="character" w:styleId="Strong">
    <w:name w:val="Strong"/>
    <w:basedOn w:val="DefaultParagraphFont"/>
    <w:uiPriority w:val="22"/>
    <w:qFormat/>
    <w:rsid w:val="0003284E"/>
    <w:rPr>
      <w:b/>
      <w:bCs/>
    </w:rPr>
  </w:style>
  <w:style w:type="paragraph" w:styleId="Bibliography">
    <w:name w:val="Bibliography"/>
    <w:basedOn w:val="Normal"/>
    <w:next w:val="Normal"/>
    <w:uiPriority w:val="37"/>
    <w:unhideWhenUsed/>
    <w:rsid w:val="00732397"/>
  </w:style>
  <w:style w:type="character" w:styleId="PlaceholderText">
    <w:name w:val="Placeholder Text"/>
    <w:basedOn w:val="DefaultParagraphFont"/>
    <w:uiPriority w:val="99"/>
    <w:semiHidden/>
    <w:rsid w:val="00C10583"/>
    <w:rPr>
      <w:color w:val="808080"/>
    </w:rPr>
  </w:style>
  <w:style w:type="character" w:customStyle="1" w:styleId="A21">
    <w:name w:val="A21"/>
    <w:uiPriority w:val="99"/>
    <w:rsid w:val="00AA7259"/>
    <w:rPr>
      <w:rFonts w:cs="Chevin"/>
      <w:color w:val="000000"/>
      <w:sz w:val="16"/>
      <w:szCs w:val="16"/>
    </w:rPr>
  </w:style>
  <w:style w:type="character" w:styleId="Emphasis">
    <w:name w:val="Emphasis"/>
    <w:basedOn w:val="DefaultParagraphFont"/>
    <w:uiPriority w:val="20"/>
    <w:qFormat/>
    <w:rsid w:val="00EB4A1C"/>
    <w:rPr>
      <w:i/>
      <w:iCs/>
    </w:rPr>
  </w:style>
  <w:style w:type="character" w:customStyle="1" w:styleId="citationurl-text">
    <w:name w:val="citation__url-text"/>
    <w:basedOn w:val="DefaultParagraphFont"/>
    <w:rsid w:val="00EB4A1C"/>
  </w:style>
  <w:style w:type="table" w:styleId="TableGrid">
    <w:name w:val="Table Grid"/>
    <w:basedOn w:val="TableNormal"/>
    <w:uiPriority w:val="59"/>
    <w:rsid w:val="000A1082"/>
    <w:pPr>
      <w:spacing w:after="0" w:line="240" w:lineRule="auto"/>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aptionChar">
    <w:name w:val="Caption Char"/>
    <w:aliases w:val="Figures Char"/>
    <w:link w:val="Caption"/>
    <w:locked/>
    <w:rsid w:val="000A1082"/>
    <w:rPr>
      <w:rFonts w:ascii="Times New Roman" w:eastAsia="Times New Roman" w:hAnsi="Times New Roman" w:cs="Times New Roman"/>
      <w:bCs/>
      <w:sz w:val="24"/>
      <w:szCs w:val="18"/>
    </w:rPr>
  </w:style>
  <w:style w:type="character" w:customStyle="1" w:styleId="FontStyle27">
    <w:name w:val="Font Style27"/>
    <w:basedOn w:val="DefaultParagraphFont"/>
    <w:uiPriority w:val="99"/>
    <w:rsid w:val="006F4DD2"/>
    <w:rPr>
      <w:rFonts w:ascii="Times New Roman" w:hAnsi="Times New Roman" w:cs="Times New Roman"/>
      <w:spacing w:val="-20"/>
      <w:sz w:val="24"/>
      <w:szCs w:val="24"/>
    </w:rPr>
  </w:style>
  <w:style w:type="character" w:customStyle="1" w:styleId="FontStyle31">
    <w:name w:val="Font Style31"/>
    <w:basedOn w:val="DefaultParagraphFont"/>
    <w:uiPriority w:val="99"/>
    <w:rsid w:val="006F4DD2"/>
    <w:rPr>
      <w:rFonts w:ascii="Times New Roman" w:hAnsi="Times New Roman" w:cs="Times New Roman"/>
      <w:b/>
      <w:bCs/>
      <w:i/>
      <w:iCs/>
      <w:sz w:val="20"/>
      <w:szCs w:val="20"/>
    </w:rPr>
  </w:style>
  <w:style w:type="character" w:customStyle="1" w:styleId="FontStyle33">
    <w:name w:val="Font Style33"/>
    <w:basedOn w:val="DefaultParagraphFont"/>
    <w:uiPriority w:val="99"/>
    <w:rsid w:val="006F4DD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9609">
      <w:bodyDiv w:val="1"/>
      <w:marLeft w:val="0"/>
      <w:marRight w:val="0"/>
      <w:marTop w:val="0"/>
      <w:marBottom w:val="0"/>
      <w:divBdr>
        <w:top w:val="none" w:sz="0" w:space="0" w:color="auto"/>
        <w:left w:val="none" w:sz="0" w:space="0" w:color="auto"/>
        <w:bottom w:val="none" w:sz="0" w:space="0" w:color="auto"/>
        <w:right w:val="none" w:sz="0" w:space="0" w:color="auto"/>
      </w:divBdr>
    </w:div>
    <w:div w:id="15934108">
      <w:bodyDiv w:val="1"/>
      <w:marLeft w:val="0"/>
      <w:marRight w:val="0"/>
      <w:marTop w:val="0"/>
      <w:marBottom w:val="0"/>
      <w:divBdr>
        <w:top w:val="none" w:sz="0" w:space="0" w:color="auto"/>
        <w:left w:val="none" w:sz="0" w:space="0" w:color="auto"/>
        <w:bottom w:val="none" w:sz="0" w:space="0" w:color="auto"/>
        <w:right w:val="none" w:sz="0" w:space="0" w:color="auto"/>
      </w:divBdr>
    </w:div>
    <w:div w:id="22443012">
      <w:bodyDiv w:val="1"/>
      <w:marLeft w:val="0"/>
      <w:marRight w:val="0"/>
      <w:marTop w:val="0"/>
      <w:marBottom w:val="0"/>
      <w:divBdr>
        <w:top w:val="none" w:sz="0" w:space="0" w:color="auto"/>
        <w:left w:val="none" w:sz="0" w:space="0" w:color="auto"/>
        <w:bottom w:val="none" w:sz="0" w:space="0" w:color="auto"/>
        <w:right w:val="none" w:sz="0" w:space="0" w:color="auto"/>
      </w:divBdr>
    </w:div>
    <w:div w:id="38940614">
      <w:bodyDiv w:val="1"/>
      <w:marLeft w:val="0"/>
      <w:marRight w:val="0"/>
      <w:marTop w:val="0"/>
      <w:marBottom w:val="0"/>
      <w:divBdr>
        <w:top w:val="none" w:sz="0" w:space="0" w:color="auto"/>
        <w:left w:val="none" w:sz="0" w:space="0" w:color="auto"/>
        <w:bottom w:val="none" w:sz="0" w:space="0" w:color="auto"/>
        <w:right w:val="none" w:sz="0" w:space="0" w:color="auto"/>
      </w:divBdr>
    </w:div>
    <w:div w:id="125784733">
      <w:bodyDiv w:val="1"/>
      <w:marLeft w:val="0"/>
      <w:marRight w:val="0"/>
      <w:marTop w:val="0"/>
      <w:marBottom w:val="0"/>
      <w:divBdr>
        <w:top w:val="none" w:sz="0" w:space="0" w:color="auto"/>
        <w:left w:val="none" w:sz="0" w:space="0" w:color="auto"/>
        <w:bottom w:val="none" w:sz="0" w:space="0" w:color="auto"/>
        <w:right w:val="none" w:sz="0" w:space="0" w:color="auto"/>
      </w:divBdr>
    </w:div>
    <w:div w:id="194658029">
      <w:bodyDiv w:val="1"/>
      <w:marLeft w:val="0"/>
      <w:marRight w:val="0"/>
      <w:marTop w:val="0"/>
      <w:marBottom w:val="0"/>
      <w:divBdr>
        <w:top w:val="none" w:sz="0" w:space="0" w:color="auto"/>
        <w:left w:val="none" w:sz="0" w:space="0" w:color="auto"/>
        <w:bottom w:val="none" w:sz="0" w:space="0" w:color="auto"/>
        <w:right w:val="none" w:sz="0" w:space="0" w:color="auto"/>
      </w:divBdr>
    </w:div>
    <w:div w:id="243691469">
      <w:bodyDiv w:val="1"/>
      <w:marLeft w:val="0"/>
      <w:marRight w:val="0"/>
      <w:marTop w:val="0"/>
      <w:marBottom w:val="0"/>
      <w:divBdr>
        <w:top w:val="none" w:sz="0" w:space="0" w:color="auto"/>
        <w:left w:val="none" w:sz="0" w:space="0" w:color="auto"/>
        <w:bottom w:val="none" w:sz="0" w:space="0" w:color="auto"/>
        <w:right w:val="none" w:sz="0" w:space="0" w:color="auto"/>
      </w:divBdr>
    </w:div>
    <w:div w:id="247159214">
      <w:bodyDiv w:val="1"/>
      <w:marLeft w:val="0"/>
      <w:marRight w:val="0"/>
      <w:marTop w:val="0"/>
      <w:marBottom w:val="0"/>
      <w:divBdr>
        <w:top w:val="none" w:sz="0" w:space="0" w:color="auto"/>
        <w:left w:val="none" w:sz="0" w:space="0" w:color="auto"/>
        <w:bottom w:val="none" w:sz="0" w:space="0" w:color="auto"/>
        <w:right w:val="none" w:sz="0" w:space="0" w:color="auto"/>
      </w:divBdr>
    </w:div>
    <w:div w:id="249121496">
      <w:bodyDiv w:val="1"/>
      <w:marLeft w:val="0"/>
      <w:marRight w:val="0"/>
      <w:marTop w:val="0"/>
      <w:marBottom w:val="0"/>
      <w:divBdr>
        <w:top w:val="none" w:sz="0" w:space="0" w:color="auto"/>
        <w:left w:val="none" w:sz="0" w:space="0" w:color="auto"/>
        <w:bottom w:val="none" w:sz="0" w:space="0" w:color="auto"/>
        <w:right w:val="none" w:sz="0" w:space="0" w:color="auto"/>
      </w:divBdr>
    </w:div>
    <w:div w:id="260266014">
      <w:bodyDiv w:val="1"/>
      <w:marLeft w:val="0"/>
      <w:marRight w:val="0"/>
      <w:marTop w:val="0"/>
      <w:marBottom w:val="0"/>
      <w:divBdr>
        <w:top w:val="none" w:sz="0" w:space="0" w:color="auto"/>
        <w:left w:val="none" w:sz="0" w:space="0" w:color="auto"/>
        <w:bottom w:val="none" w:sz="0" w:space="0" w:color="auto"/>
        <w:right w:val="none" w:sz="0" w:space="0" w:color="auto"/>
      </w:divBdr>
    </w:div>
    <w:div w:id="261451220">
      <w:bodyDiv w:val="1"/>
      <w:marLeft w:val="0"/>
      <w:marRight w:val="0"/>
      <w:marTop w:val="0"/>
      <w:marBottom w:val="0"/>
      <w:divBdr>
        <w:top w:val="none" w:sz="0" w:space="0" w:color="auto"/>
        <w:left w:val="none" w:sz="0" w:space="0" w:color="auto"/>
        <w:bottom w:val="none" w:sz="0" w:space="0" w:color="auto"/>
        <w:right w:val="none" w:sz="0" w:space="0" w:color="auto"/>
      </w:divBdr>
    </w:div>
    <w:div w:id="293214792">
      <w:bodyDiv w:val="1"/>
      <w:marLeft w:val="0"/>
      <w:marRight w:val="0"/>
      <w:marTop w:val="0"/>
      <w:marBottom w:val="0"/>
      <w:divBdr>
        <w:top w:val="none" w:sz="0" w:space="0" w:color="auto"/>
        <w:left w:val="none" w:sz="0" w:space="0" w:color="auto"/>
        <w:bottom w:val="none" w:sz="0" w:space="0" w:color="auto"/>
        <w:right w:val="none" w:sz="0" w:space="0" w:color="auto"/>
      </w:divBdr>
    </w:div>
    <w:div w:id="299850302">
      <w:bodyDiv w:val="1"/>
      <w:marLeft w:val="0"/>
      <w:marRight w:val="0"/>
      <w:marTop w:val="0"/>
      <w:marBottom w:val="0"/>
      <w:divBdr>
        <w:top w:val="none" w:sz="0" w:space="0" w:color="auto"/>
        <w:left w:val="none" w:sz="0" w:space="0" w:color="auto"/>
        <w:bottom w:val="none" w:sz="0" w:space="0" w:color="auto"/>
        <w:right w:val="none" w:sz="0" w:space="0" w:color="auto"/>
      </w:divBdr>
    </w:div>
    <w:div w:id="302008819">
      <w:bodyDiv w:val="1"/>
      <w:marLeft w:val="0"/>
      <w:marRight w:val="0"/>
      <w:marTop w:val="0"/>
      <w:marBottom w:val="0"/>
      <w:divBdr>
        <w:top w:val="none" w:sz="0" w:space="0" w:color="auto"/>
        <w:left w:val="none" w:sz="0" w:space="0" w:color="auto"/>
        <w:bottom w:val="none" w:sz="0" w:space="0" w:color="auto"/>
        <w:right w:val="none" w:sz="0" w:space="0" w:color="auto"/>
      </w:divBdr>
    </w:div>
    <w:div w:id="330988891">
      <w:bodyDiv w:val="1"/>
      <w:marLeft w:val="0"/>
      <w:marRight w:val="0"/>
      <w:marTop w:val="0"/>
      <w:marBottom w:val="0"/>
      <w:divBdr>
        <w:top w:val="none" w:sz="0" w:space="0" w:color="auto"/>
        <w:left w:val="none" w:sz="0" w:space="0" w:color="auto"/>
        <w:bottom w:val="none" w:sz="0" w:space="0" w:color="auto"/>
        <w:right w:val="none" w:sz="0" w:space="0" w:color="auto"/>
      </w:divBdr>
    </w:div>
    <w:div w:id="414203736">
      <w:bodyDiv w:val="1"/>
      <w:marLeft w:val="0"/>
      <w:marRight w:val="0"/>
      <w:marTop w:val="0"/>
      <w:marBottom w:val="0"/>
      <w:divBdr>
        <w:top w:val="none" w:sz="0" w:space="0" w:color="auto"/>
        <w:left w:val="none" w:sz="0" w:space="0" w:color="auto"/>
        <w:bottom w:val="none" w:sz="0" w:space="0" w:color="auto"/>
        <w:right w:val="none" w:sz="0" w:space="0" w:color="auto"/>
      </w:divBdr>
    </w:div>
    <w:div w:id="457534877">
      <w:bodyDiv w:val="1"/>
      <w:marLeft w:val="0"/>
      <w:marRight w:val="0"/>
      <w:marTop w:val="0"/>
      <w:marBottom w:val="0"/>
      <w:divBdr>
        <w:top w:val="none" w:sz="0" w:space="0" w:color="auto"/>
        <w:left w:val="none" w:sz="0" w:space="0" w:color="auto"/>
        <w:bottom w:val="none" w:sz="0" w:space="0" w:color="auto"/>
        <w:right w:val="none" w:sz="0" w:space="0" w:color="auto"/>
      </w:divBdr>
    </w:div>
    <w:div w:id="465895734">
      <w:bodyDiv w:val="1"/>
      <w:marLeft w:val="0"/>
      <w:marRight w:val="0"/>
      <w:marTop w:val="0"/>
      <w:marBottom w:val="0"/>
      <w:divBdr>
        <w:top w:val="none" w:sz="0" w:space="0" w:color="auto"/>
        <w:left w:val="none" w:sz="0" w:space="0" w:color="auto"/>
        <w:bottom w:val="none" w:sz="0" w:space="0" w:color="auto"/>
        <w:right w:val="none" w:sz="0" w:space="0" w:color="auto"/>
      </w:divBdr>
    </w:div>
    <w:div w:id="473177646">
      <w:bodyDiv w:val="1"/>
      <w:marLeft w:val="0"/>
      <w:marRight w:val="0"/>
      <w:marTop w:val="0"/>
      <w:marBottom w:val="0"/>
      <w:divBdr>
        <w:top w:val="none" w:sz="0" w:space="0" w:color="auto"/>
        <w:left w:val="none" w:sz="0" w:space="0" w:color="auto"/>
        <w:bottom w:val="none" w:sz="0" w:space="0" w:color="auto"/>
        <w:right w:val="none" w:sz="0" w:space="0" w:color="auto"/>
      </w:divBdr>
    </w:div>
    <w:div w:id="491719319">
      <w:bodyDiv w:val="1"/>
      <w:marLeft w:val="0"/>
      <w:marRight w:val="0"/>
      <w:marTop w:val="0"/>
      <w:marBottom w:val="0"/>
      <w:divBdr>
        <w:top w:val="none" w:sz="0" w:space="0" w:color="auto"/>
        <w:left w:val="none" w:sz="0" w:space="0" w:color="auto"/>
        <w:bottom w:val="none" w:sz="0" w:space="0" w:color="auto"/>
        <w:right w:val="none" w:sz="0" w:space="0" w:color="auto"/>
      </w:divBdr>
    </w:div>
    <w:div w:id="495346496">
      <w:bodyDiv w:val="1"/>
      <w:marLeft w:val="0"/>
      <w:marRight w:val="0"/>
      <w:marTop w:val="0"/>
      <w:marBottom w:val="0"/>
      <w:divBdr>
        <w:top w:val="none" w:sz="0" w:space="0" w:color="auto"/>
        <w:left w:val="none" w:sz="0" w:space="0" w:color="auto"/>
        <w:bottom w:val="none" w:sz="0" w:space="0" w:color="auto"/>
        <w:right w:val="none" w:sz="0" w:space="0" w:color="auto"/>
      </w:divBdr>
    </w:div>
    <w:div w:id="524054459">
      <w:bodyDiv w:val="1"/>
      <w:marLeft w:val="0"/>
      <w:marRight w:val="0"/>
      <w:marTop w:val="0"/>
      <w:marBottom w:val="0"/>
      <w:divBdr>
        <w:top w:val="none" w:sz="0" w:space="0" w:color="auto"/>
        <w:left w:val="none" w:sz="0" w:space="0" w:color="auto"/>
        <w:bottom w:val="none" w:sz="0" w:space="0" w:color="auto"/>
        <w:right w:val="none" w:sz="0" w:space="0" w:color="auto"/>
      </w:divBdr>
    </w:div>
    <w:div w:id="536551398">
      <w:bodyDiv w:val="1"/>
      <w:marLeft w:val="0"/>
      <w:marRight w:val="0"/>
      <w:marTop w:val="0"/>
      <w:marBottom w:val="0"/>
      <w:divBdr>
        <w:top w:val="none" w:sz="0" w:space="0" w:color="auto"/>
        <w:left w:val="none" w:sz="0" w:space="0" w:color="auto"/>
        <w:bottom w:val="none" w:sz="0" w:space="0" w:color="auto"/>
        <w:right w:val="none" w:sz="0" w:space="0" w:color="auto"/>
      </w:divBdr>
    </w:div>
    <w:div w:id="601495553">
      <w:bodyDiv w:val="1"/>
      <w:marLeft w:val="0"/>
      <w:marRight w:val="0"/>
      <w:marTop w:val="0"/>
      <w:marBottom w:val="0"/>
      <w:divBdr>
        <w:top w:val="none" w:sz="0" w:space="0" w:color="auto"/>
        <w:left w:val="none" w:sz="0" w:space="0" w:color="auto"/>
        <w:bottom w:val="none" w:sz="0" w:space="0" w:color="auto"/>
        <w:right w:val="none" w:sz="0" w:space="0" w:color="auto"/>
      </w:divBdr>
    </w:div>
    <w:div w:id="654651585">
      <w:bodyDiv w:val="1"/>
      <w:marLeft w:val="0"/>
      <w:marRight w:val="0"/>
      <w:marTop w:val="0"/>
      <w:marBottom w:val="0"/>
      <w:divBdr>
        <w:top w:val="none" w:sz="0" w:space="0" w:color="auto"/>
        <w:left w:val="none" w:sz="0" w:space="0" w:color="auto"/>
        <w:bottom w:val="none" w:sz="0" w:space="0" w:color="auto"/>
        <w:right w:val="none" w:sz="0" w:space="0" w:color="auto"/>
      </w:divBdr>
    </w:div>
    <w:div w:id="657731716">
      <w:bodyDiv w:val="1"/>
      <w:marLeft w:val="0"/>
      <w:marRight w:val="0"/>
      <w:marTop w:val="0"/>
      <w:marBottom w:val="0"/>
      <w:divBdr>
        <w:top w:val="none" w:sz="0" w:space="0" w:color="auto"/>
        <w:left w:val="none" w:sz="0" w:space="0" w:color="auto"/>
        <w:bottom w:val="none" w:sz="0" w:space="0" w:color="auto"/>
        <w:right w:val="none" w:sz="0" w:space="0" w:color="auto"/>
      </w:divBdr>
    </w:div>
    <w:div w:id="668413778">
      <w:bodyDiv w:val="1"/>
      <w:marLeft w:val="0"/>
      <w:marRight w:val="0"/>
      <w:marTop w:val="0"/>
      <w:marBottom w:val="0"/>
      <w:divBdr>
        <w:top w:val="none" w:sz="0" w:space="0" w:color="auto"/>
        <w:left w:val="none" w:sz="0" w:space="0" w:color="auto"/>
        <w:bottom w:val="none" w:sz="0" w:space="0" w:color="auto"/>
        <w:right w:val="none" w:sz="0" w:space="0" w:color="auto"/>
      </w:divBdr>
    </w:div>
    <w:div w:id="675764102">
      <w:bodyDiv w:val="1"/>
      <w:marLeft w:val="0"/>
      <w:marRight w:val="0"/>
      <w:marTop w:val="0"/>
      <w:marBottom w:val="0"/>
      <w:divBdr>
        <w:top w:val="none" w:sz="0" w:space="0" w:color="auto"/>
        <w:left w:val="none" w:sz="0" w:space="0" w:color="auto"/>
        <w:bottom w:val="none" w:sz="0" w:space="0" w:color="auto"/>
        <w:right w:val="none" w:sz="0" w:space="0" w:color="auto"/>
      </w:divBdr>
    </w:div>
    <w:div w:id="683283109">
      <w:bodyDiv w:val="1"/>
      <w:marLeft w:val="0"/>
      <w:marRight w:val="0"/>
      <w:marTop w:val="0"/>
      <w:marBottom w:val="0"/>
      <w:divBdr>
        <w:top w:val="none" w:sz="0" w:space="0" w:color="auto"/>
        <w:left w:val="none" w:sz="0" w:space="0" w:color="auto"/>
        <w:bottom w:val="none" w:sz="0" w:space="0" w:color="auto"/>
        <w:right w:val="none" w:sz="0" w:space="0" w:color="auto"/>
      </w:divBdr>
    </w:div>
    <w:div w:id="683941614">
      <w:bodyDiv w:val="1"/>
      <w:marLeft w:val="0"/>
      <w:marRight w:val="0"/>
      <w:marTop w:val="0"/>
      <w:marBottom w:val="0"/>
      <w:divBdr>
        <w:top w:val="none" w:sz="0" w:space="0" w:color="auto"/>
        <w:left w:val="none" w:sz="0" w:space="0" w:color="auto"/>
        <w:bottom w:val="none" w:sz="0" w:space="0" w:color="auto"/>
        <w:right w:val="none" w:sz="0" w:space="0" w:color="auto"/>
      </w:divBdr>
    </w:div>
    <w:div w:id="685667412">
      <w:bodyDiv w:val="1"/>
      <w:marLeft w:val="0"/>
      <w:marRight w:val="0"/>
      <w:marTop w:val="0"/>
      <w:marBottom w:val="0"/>
      <w:divBdr>
        <w:top w:val="none" w:sz="0" w:space="0" w:color="auto"/>
        <w:left w:val="none" w:sz="0" w:space="0" w:color="auto"/>
        <w:bottom w:val="none" w:sz="0" w:space="0" w:color="auto"/>
        <w:right w:val="none" w:sz="0" w:space="0" w:color="auto"/>
      </w:divBdr>
    </w:div>
    <w:div w:id="739451553">
      <w:bodyDiv w:val="1"/>
      <w:marLeft w:val="0"/>
      <w:marRight w:val="0"/>
      <w:marTop w:val="0"/>
      <w:marBottom w:val="0"/>
      <w:divBdr>
        <w:top w:val="none" w:sz="0" w:space="0" w:color="auto"/>
        <w:left w:val="none" w:sz="0" w:space="0" w:color="auto"/>
        <w:bottom w:val="none" w:sz="0" w:space="0" w:color="auto"/>
        <w:right w:val="none" w:sz="0" w:space="0" w:color="auto"/>
      </w:divBdr>
    </w:div>
    <w:div w:id="776293034">
      <w:bodyDiv w:val="1"/>
      <w:marLeft w:val="0"/>
      <w:marRight w:val="0"/>
      <w:marTop w:val="0"/>
      <w:marBottom w:val="0"/>
      <w:divBdr>
        <w:top w:val="none" w:sz="0" w:space="0" w:color="auto"/>
        <w:left w:val="none" w:sz="0" w:space="0" w:color="auto"/>
        <w:bottom w:val="none" w:sz="0" w:space="0" w:color="auto"/>
        <w:right w:val="none" w:sz="0" w:space="0" w:color="auto"/>
      </w:divBdr>
    </w:div>
    <w:div w:id="777868784">
      <w:bodyDiv w:val="1"/>
      <w:marLeft w:val="0"/>
      <w:marRight w:val="0"/>
      <w:marTop w:val="0"/>
      <w:marBottom w:val="0"/>
      <w:divBdr>
        <w:top w:val="none" w:sz="0" w:space="0" w:color="auto"/>
        <w:left w:val="none" w:sz="0" w:space="0" w:color="auto"/>
        <w:bottom w:val="none" w:sz="0" w:space="0" w:color="auto"/>
        <w:right w:val="none" w:sz="0" w:space="0" w:color="auto"/>
      </w:divBdr>
    </w:div>
    <w:div w:id="798958750">
      <w:bodyDiv w:val="1"/>
      <w:marLeft w:val="0"/>
      <w:marRight w:val="0"/>
      <w:marTop w:val="0"/>
      <w:marBottom w:val="0"/>
      <w:divBdr>
        <w:top w:val="none" w:sz="0" w:space="0" w:color="auto"/>
        <w:left w:val="none" w:sz="0" w:space="0" w:color="auto"/>
        <w:bottom w:val="none" w:sz="0" w:space="0" w:color="auto"/>
        <w:right w:val="none" w:sz="0" w:space="0" w:color="auto"/>
      </w:divBdr>
    </w:div>
    <w:div w:id="813332925">
      <w:bodyDiv w:val="1"/>
      <w:marLeft w:val="0"/>
      <w:marRight w:val="0"/>
      <w:marTop w:val="0"/>
      <w:marBottom w:val="0"/>
      <w:divBdr>
        <w:top w:val="none" w:sz="0" w:space="0" w:color="auto"/>
        <w:left w:val="none" w:sz="0" w:space="0" w:color="auto"/>
        <w:bottom w:val="none" w:sz="0" w:space="0" w:color="auto"/>
        <w:right w:val="none" w:sz="0" w:space="0" w:color="auto"/>
      </w:divBdr>
    </w:div>
    <w:div w:id="818108861">
      <w:bodyDiv w:val="1"/>
      <w:marLeft w:val="0"/>
      <w:marRight w:val="0"/>
      <w:marTop w:val="0"/>
      <w:marBottom w:val="0"/>
      <w:divBdr>
        <w:top w:val="none" w:sz="0" w:space="0" w:color="auto"/>
        <w:left w:val="none" w:sz="0" w:space="0" w:color="auto"/>
        <w:bottom w:val="none" w:sz="0" w:space="0" w:color="auto"/>
        <w:right w:val="none" w:sz="0" w:space="0" w:color="auto"/>
      </w:divBdr>
    </w:div>
    <w:div w:id="819611499">
      <w:bodyDiv w:val="1"/>
      <w:marLeft w:val="0"/>
      <w:marRight w:val="0"/>
      <w:marTop w:val="0"/>
      <w:marBottom w:val="0"/>
      <w:divBdr>
        <w:top w:val="none" w:sz="0" w:space="0" w:color="auto"/>
        <w:left w:val="none" w:sz="0" w:space="0" w:color="auto"/>
        <w:bottom w:val="none" w:sz="0" w:space="0" w:color="auto"/>
        <w:right w:val="none" w:sz="0" w:space="0" w:color="auto"/>
      </w:divBdr>
    </w:div>
    <w:div w:id="864245786">
      <w:bodyDiv w:val="1"/>
      <w:marLeft w:val="0"/>
      <w:marRight w:val="0"/>
      <w:marTop w:val="0"/>
      <w:marBottom w:val="0"/>
      <w:divBdr>
        <w:top w:val="none" w:sz="0" w:space="0" w:color="auto"/>
        <w:left w:val="none" w:sz="0" w:space="0" w:color="auto"/>
        <w:bottom w:val="none" w:sz="0" w:space="0" w:color="auto"/>
        <w:right w:val="none" w:sz="0" w:space="0" w:color="auto"/>
      </w:divBdr>
    </w:div>
    <w:div w:id="868373285">
      <w:bodyDiv w:val="1"/>
      <w:marLeft w:val="0"/>
      <w:marRight w:val="0"/>
      <w:marTop w:val="0"/>
      <w:marBottom w:val="0"/>
      <w:divBdr>
        <w:top w:val="none" w:sz="0" w:space="0" w:color="auto"/>
        <w:left w:val="none" w:sz="0" w:space="0" w:color="auto"/>
        <w:bottom w:val="none" w:sz="0" w:space="0" w:color="auto"/>
        <w:right w:val="none" w:sz="0" w:space="0" w:color="auto"/>
      </w:divBdr>
    </w:div>
    <w:div w:id="877081586">
      <w:bodyDiv w:val="1"/>
      <w:marLeft w:val="0"/>
      <w:marRight w:val="0"/>
      <w:marTop w:val="0"/>
      <w:marBottom w:val="0"/>
      <w:divBdr>
        <w:top w:val="none" w:sz="0" w:space="0" w:color="auto"/>
        <w:left w:val="none" w:sz="0" w:space="0" w:color="auto"/>
        <w:bottom w:val="none" w:sz="0" w:space="0" w:color="auto"/>
        <w:right w:val="none" w:sz="0" w:space="0" w:color="auto"/>
      </w:divBdr>
    </w:div>
    <w:div w:id="885988267">
      <w:bodyDiv w:val="1"/>
      <w:marLeft w:val="0"/>
      <w:marRight w:val="0"/>
      <w:marTop w:val="0"/>
      <w:marBottom w:val="0"/>
      <w:divBdr>
        <w:top w:val="none" w:sz="0" w:space="0" w:color="auto"/>
        <w:left w:val="none" w:sz="0" w:space="0" w:color="auto"/>
        <w:bottom w:val="none" w:sz="0" w:space="0" w:color="auto"/>
        <w:right w:val="none" w:sz="0" w:space="0" w:color="auto"/>
      </w:divBdr>
    </w:div>
    <w:div w:id="909508977">
      <w:bodyDiv w:val="1"/>
      <w:marLeft w:val="0"/>
      <w:marRight w:val="0"/>
      <w:marTop w:val="0"/>
      <w:marBottom w:val="0"/>
      <w:divBdr>
        <w:top w:val="none" w:sz="0" w:space="0" w:color="auto"/>
        <w:left w:val="none" w:sz="0" w:space="0" w:color="auto"/>
        <w:bottom w:val="none" w:sz="0" w:space="0" w:color="auto"/>
        <w:right w:val="none" w:sz="0" w:space="0" w:color="auto"/>
      </w:divBdr>
    </w:div>
    <w:div w:id="910697137">
      <w:bodyDiv w:val="1"/>
      <w:marLeft w:val="0"/>
      <w:marRight w:val="0"/>
      <w:marTop w:val="0"/>
      <w:marBottom w:val="0"/>
      <w:divBdr>
        <w:top w:val="none" w:sz="0" w:space="0" w:color="auto"/>
        <w:left w:val="none" w:sz="0" w:space="0" w:color="auto"/>
        <w:bottom w:val="none" w:sz="0" w:space="0" w:color="auto"/>
        <w:right w:val="none" w:sz="0" w:space="0" w:color="auto"/>
      </w:divBdr>
    </w:div>
    <w:div w:id="936211473">
      <w:bodyDiv w:val="1"/>
      <w:marLeft w:val="0"/>
      <w:marRight w:val="0"/>
      <w:marTop w:val="0"/>
      <w:marBottom w:val="0"/>
      <w:divBdr>
        <w:top w:val="none" w:sz="0" w:space="0" w:color="auto"/>
        <w:left w:val="none" w:sz="0" w:space="0" w:color="auto"/>
        <w:bottom w:val="none" w:sz="0" w:space="0" w:color="auto"/>
        <w:right w:val="none" w:sz="0" w:space="0" w:color="auto"/>
      </w:divBdr>
    </w:div>
    <w:div w:id="1021122842">
      <w:bodyDiv w:val="1"/>
      <w:marLeft w:val="0"/>
      <w:marRight w:val="0"/>
      <w:marTop w:val="0"/>
      <w:marBottom w:val="0"/>
      <w:divBdr>
        <w:top w:val="none" w:sz="0" w:space="0" w:color="auto"/>
        <w:left w:val="none" w:sz="0" w:space="0" w:color="auto"/>
        <w:bottom w:val="none" w:sz="0" w:space="0" w:color="auto"/>
        <w:right w:val="none" w:sz="0" w:space="0" w:color="auto"/>
      </w:divBdr>
    </w:div>
    <w:div w:id="1043822447">
      <w:bodyDiv w:val="1"/>
      <w:marLeft w:val="0"/>
      <w:marRight w:val="0"/>
      <w:marTop w:val="0"/>
      <w:marBottom w:val="0"/>
      <w:divBdr>
        <w:top w:val="none" w:sz="0" w:space="0" w:color="auto"/>
        <w:left w:val="none" w:sz="0" w:space="0" w:color="auto"/>
        <w:bottom w:val="none" w:sz="0" w:space="0" w:color="auto"/>
        <w:right w:val="none" w:sz="0" w:space="0" w:color="auto"/>
      </w:divBdr>
    </w:div>
    <w:div w:id="1045789402">
      <w:bodyDiv w:val="1"/>
      <w:marLeft w:val="0"/>
      <w:marRight w:val="0"/>
      <w:marTop w:val="0"/>
      <w:marBottom w:val="0"/>
      <w:divBdr>
        <w:top w:val="none" w:sz="0" w:space="0" w:color="auto"/>
        <w:left w:val="none" w:sz="0" w:space="0" w:color="auto"/>
        <w:bottom w:val="none" w:sz="0" w:space="0" w:color="auto"/>
        <w:right w:val="none" w:sz="0" w:space="0" w:color="auto"/>
      </w:divBdr>
    </w:div>
    <w:div w:id="1055395997">
      <w:bodyDiv w:val="1"/>
      <w:marLeft w:val="0"/>
      <w:marRight w:val="0"/>
      <w:marTop w:val="0"/>
      <w:marBottom w:val="0"/>
      <w:divBdr>
        <w:top w:val="none" w:sz="0" w:space="0" w:color="auto"/>
        <w:left w:val="none" w:sz="0" w:space="0" w:color="auto"/>
        <w:bottom w:val="none" w:sz="0" w:space="0" w:color="auto"/>
        <w:right w:val="none" w:sz="0" w:space="0" w:color="auto"/>
      </w:divBdr>
    </w:div>
    <w:div w:id="1060858591">
      <w:bodyDiv w:val="1"/>
      <w:marLeft w:val="0"/>
      <w:marRight w:val="0"/>
      <w:marTop w:val="0"/>
      <w:marBottom w:val="0"/>
      <w:divBdr>
        <w:top w:val="none" w:sz="0" w:space="0" w:color="auto"/>
        <w:left w:val="none" w:sz="0" w:space="0" w:color="auto"/>
        <w:bottom w:val="none" w:sz="0" w:space="0" w:color="auto"/>
        <w:right w:val="none" w:sz="0" w:space="0" w:color="auto"/>
      </w:divBdr>
    </w:div>
    <w:div w:id="1075981404">
      <w:bodyDiv w:val="1"/>
      <w:marLeft w:val="0"/>
      <w:marRight w:val="0"/>
      <w:marTop w:val="0"/>
      <w:marBottom w:val="0"/>
      <w:divBdr>
        <w:top w:val="none" w:sz="0" w:space="0" w:color="auto"/>
        <w:left w:val="none" w:sz="0" w:space="0" w:color="auto"/>
        <w:bottom w:val="none" w:sz="0" w:space="0" w:color="auto"/>
        <w:right w:val="none" w:sz="0" w:space="0" w:color="auto"/>
      </w:divBdr>
    </w:div>
    <w:div w:id="1080251212">
      <w:bodyDiv w:val="1"/>
      <w:marLeft w:val="0"/>
      <w:marRight w:val="0"/>
      <w:marTop w:val="0"/>
      <w:marBottom w:val="0"/>
      <w:divBdr>
        <w:top w:val="none" w:sz="0" w:space="0" w:color="auto"/>
        <w:left w:val="none" w:sz="0" w:space="0" w:color="auto"/>
        <w:bottom w:val="none" w:sz="0" w:space="0" w:color="auto"/>
        <w:right w:val="none" w:sz="0" w:space="0" w:color="auto"/>
      </w:divBdr>
    </w:div>
    <w:div w:id="1084182302">
      <w:bodyDiv w:val="1"/>
      <w:marLeft w:val="0"/>
      <w:marRight w:val="0"/>
      <w:marTop w:val="0"/>
      <w:marBottom w:val="0"/>
      <w:divBdr>
        <w:top w:val="none" w:sz="0" w:space="0" w:color="auto"/>
        <w:left w:val="none" w:sz="0" w:space="0" w:color="auto"/>
        <w:bottom w:val="none" w:sz="0" w:space="0" w:color="auto"/>
        <w:right w:val="none" w:sz="0" w:space="0" w:color="auto"/>
      </w:divBdr>
    </w:div>
    <w:div w:id="1101803038">
      <w:bodyDiv w:val="1"/>
      <w:marLeft w:val="0"/>
      <w:marRight w:val="0"/>
      <w:marTop w:val="0"/>
      <w:marBottom w:val="0"/>
      <w:divBdr>
        <w:top w:val="none" w:sz="0" w:space="0" w:color="auto"/>
        <w:left w:val="none" w:sz="0" w:space="0" w:color="auto"/>
        <w:bottom w:val="none" w:sz="0" w:space="0" w:color="auto"/>
        <w:right w:val="none" w:sz="0" w:space="0" w:color="auto"/>
      </w:divBdr>
    </w:div>
    <w:div w:id="1160391122">
      <w:bodyDiv w:val="1"/>
      <w:marLeft w:val="0"/>
      <w:marRight w:val="0"/>
      <w:marTop w:val="0"/>
      <w:marBottom w:val="0"/>
      <w:divBdr>
        <w:top w:val="none" w:sz="0" w:space="0" w:color="auto"/>
        <w:left w:val="none" w:sz="0" w:space="0" w:color="auto"/>
        <w:bottom w:val="none" w:sz="0" w:space="0" w:color="auto"/>
        <w:right w:val="none" w:sz="0" w:space="0" w:color="auto"/>
      </w:divBdr>
    </w:div>
    <w:div w:id="1163355448">
      <w:bodyDiv w:val="1"/>
      <w:marLeft w:val="0"/>
      <w:marRight w:val="0"/>
      <w:marTop w:val="0"/>
      <w:marBottom w:val="0"/>
      <w:divBdr>
        <w:top w:val="none" w:sz="0" w:space="0" w:color="auto"/>
        <w:left w:val="none" w:sz="0" w:space="0" w:color="auto"/>
        <w:bottom w:val="none" w:sz="0" w:space="0" w:color="auto"/>
        <w:right w:val="none" w:sz="0" w:space="0" w:color="auto"/>
      </w:divBdr>
    </w:div>
    <w:div w:id="1165895276">
      <w:bodyDiv w:val="1"/>
      <w:marLeft w:val="0"/>
      <w:marRight w:val="0"/>
      <w:marTop w:val="0"/>
      <w:marBottom w:val="0"/>
      <w:divBdr>
        <w:top w:val="none" w:sz="0" w:space="0" w:color="auto"/>
        <w:left w:val="none" w:sz="0" w:space="0" w:color="auto"/>
        <w:bottom w:val="none" w:sz="0" w:space="0" w:color="auto"/>
        <w:right w:val="none" w:sz="0" w:space="0" w:color="auto"/>
      </w:divBdr>
    </w:div>
    <w:div w:id="1166243035">
      <w:bodyDiv w:val="1"/>
      <w:marLeft w:val="0"/>
      <w:marRight w:val="0"/>
      <w:marTop w:val="0"/>
      <w:marBottom w:val="0"/>
      <w:divBdr>
        <w:top w:val="none" w:sz="0" w:space="0" w:color="auto"/>
        <w:left w:val="none" w:sz="0" w:space="0" w:color="auto"/>
        <w:bottom w:val="none" w:sz="0" w:space="0" w:color="auto"/>
        <w:right w:val="none" w:sz="0" w:space="0" w:color="auto"/>
      </w:divBdr>
    </w:div>
    <w:div w:id="1189610653">
      <w:bodyDiv w:val="1"/>
      <w:marLeft w:val="0"/>
      <w:marRight w:val="0"/>
      <w:marTop w:val="0"/>
      <w:marBottom w:val="0"/>
      <w:divBdr>
        <w:top w:val="none" w:sz="0" w:space="0" w:color="auto"/>
        <w:left w:val="none" w:sz="0" w:space="0" w:color="auto"/>
        <w:bottom w:val="none" w:sz="0" w:space="0" w:color="auto"/>
        <w:right w:val="none" w:sz="0" w:space="0" w:color="auto"/>
      </w:divBdr>
    </w:div>
    <w:div w:id="1219319532">
      <w:bodyDiv w:val="1"/>
      <w:marLeft w:val="0"/>
      <w:marRight w:val="0"/>
      <w:marTop w:val="0"/>
      <w:marBottom w:val="0"/>
      <w:divBdr>
        <w:top w:val="none" w:sz="0" w:space="0" w:color="auto"/>
        <w:left w:val="none" w:sz="0" w:space="0" w:color="auto"/>
        <w:bottom w:val="none" w:sz="0" w:space="0" w:color="auto"/>
        <w:right w:val="none" w:sz="0" w:space="0" w:color="auto"/>
      </w:divBdr>
    </w:div>
    <w:div w:id="1225262240">
      <w:bodyDiv w:val="1"/>
      <w:marLeft w:val="0"/>
      <w:marRight w:val="0"/>
      <w:marTop w:val="0"/>
      <w:marBottom w:val="0"/>
      <w:divBdr>
        <w:top w:val="none" w:sz="0" w:space="0" w:color="auto"/>
        <w:left w:val="none" w:sz="0" w:space="0" w:color="auto"/>
        <w:bottom w:val="none" w:sz="0" w:space="0" w:color="auto"/>
        <w:right w:val="none" w:sz="0" w:space="0" w:color="auto"/>
      </w:divBdr>
    </w:div>
    <w:div w:id="1226113427">
      <w:bodyDiv w:val="1"/>
      <w:marLeft w:val="0"/>
      <w:marRight w:val="0"/>
      <w:marTop w:val="0"/>
      <w:marBottom w:val="0"/>
      <w:divBdr>
        <w:top w:val="none" w:sz="0" w:space="0" w:color="auto"/>
        <w:left w:val="none" w:sz="0" w:space="0" w:color="auto"/>
        <w:bottom w:val="none" w:sz="0" w:space="0" w:color="auto"/>
        <w:right w:val="none" w:sz="0" w:space="0" w:color="auto"/>
      </w:divBdr>
    </w:div>
    <w:div w:id="1256593436">
      <w:bodyDiv w:val="1"/>
      <w:marLeft w:val="0"/>
      <w:marRight w:val="0"/>
      <w:marTop w:val="0"/>
      <w:marBottom w:val="0"/>
      <w:divBdr>
        <w:top w:val="none" w:sz="0" w:space="0" w:color="auto"/>
        <w:left w:val="none" w:sz="0" w:space="0" w:color="auto"/>
        <w:bottom w:val="none" w:sz="0" w:space="0" w:color="auto"/>
        <w:right w:val="none" w:sz="0" w:space="0" w:color="auto"/>
      </w:divBdr>
    </w:div>
    <w:div w:id="1259362613">
      <w:bodyDiv w:val="1"/>
      <w:marLeft w:val="0"/>
      <w:marRight w:val="0"/>
      <w:marTop w:val="0"/>
      <w:marBottom w:val="0"/>
      <w:divBdr>
        <w:top w:val="none" w:sz="0" w:space="0" w:color="auto"/>
        <w:left w:val="none" w:sz="0" w:space="0" w:color="auto"/>
        <w:bottom w:val="none" w:sz="0" w:space="0" w:color="auto"/>
        <w:right w:val="none" w:sz="0" w:space="0" w:color="auto"/>
      </w:divBdr>
    </w:div>
    <w:div w:id="1265771694">
      <w:bodyDiv w:val="1"/>
      <w:marLeft w:val="0"/>
      <w:marRight w:val="0"/>
      <w:marTop w:val="0"/>
      <w:marBottom w:val="0"/>
      <w:divBdr>
        <w:top w:val="none" w:sz="0" w:space="0" w:color="auto"/>
        <w:left w:val="none" w:sz="0" w:space="0" w:color="auto"/>
        <w:bottom w:val="none" w:sz="0" w:space="0" w:color="auto"/>
        <w:right w:val="none" w:sz="0" w:space="0" w:color="auto"/>
      </w:divBdr>
    </w:div>
    <w:div w:id="1275553894">
      <w:bodyDiv w:val="1"/>
      <w:marLeft w:val="0"/>
      <w:marRight w:val="0"/>
      <w:marTop w:val="0"/>
      <w:marBottom w:val="0"/>
      <w:divBdr>
        <w:top w:val="none" w:sz="0" w:space="0" w:color="auto"/>
        <w:left w:val="none" w:sz="0" w:space="0" w:color="auto"/>
        <w:bottom w:val="none" w:sz="0" w:space="0" w:color="auto"/>
        <w:right w:val="none" w:sz="0" w:space="0" w:color="auto"/>
      </w:divBdr>
    </w:div>
    <w:div w:id="1289162912">
      <w:bodyDiv w:val="1"/>
      <w:marLeft w:val="0"/>
      <w:marRight w:val="0"/>
      <w:marTop w:val="0"/>
      <w:marBottom w:val="0"/>
      <w:divBdr>
        <w:top w:val="none" w:sz="0" w:space="0" w:color="auto"/>
        <w:left w:val="none" w:sz="0" w:space="0" w:color="auto"/>
        <w:bottom w:val="none" w:sz="0" w:space="0" w:color="auto"/>
        <w:right w:val="none" w:sz="0" w:space="0" w:color="auto"/>
      </w:divBdr>
    </w:div>
    <w:div w:id="1351755159">
      <w:bodyDiv w:val="1"/>
      <w:marLeft w:val="0"/>
      <w:marRight w:val="0"/>
      <w:marTop w:val="0"/>
      <w:marBottom w:val="0"/>
      <w:divBdr>
        <w:top w:val="none" w:sz="0" w:space="0" w:color="auto"/>
        <w:left w:val="none" w:sz="0" w:space="0" w:color="auto"/>
        <w:bottom w:val="none" w:sz="0" w:space="0" w:color="auto"/>
        <w:right w:val="none" w:sz="0" w:space="0" w:color="auto"/>
      </w:divBdr>
    </w:div>
    <w:div w:id="1391613967">
      <w:bodyDiv w:val="1"/>
      <w:marLeft w:val="0"/>
      <w:marRight w:val="0"/>
      <w:marTop w:val="0"/>
      <w:marBottom w:val="0"/>
      <w:divBdr>
        <w:top w:val="none" w:sz="0" w:space="0" w:color="auto"/>
        <w:left w:val="none" w:sz="0" w:space="0" w:color="auto"/>
        <w:bottom w:val="none" w:sz="0" w:space="0" w:color="auto"/>
        <w:right w:val="none" w:sz="0" w:space="0" w:color="auto"/>
      </w:divBdr>
    </w:div>
    <w:div w:id="1435440729">
      <w:bodyDiv w:val="1"/>
      <w:marLeft w:val="0"/>
      <w:marRight w:val="0"/>
      <w:marTop w:val="0"/>
      <w:marBottom w:val="0"/>
      <w:divBdr>
        <w:top w:val="none" w:sz="0" w:space="0" w:color="auto"/>
        <w:left w:val="none" w:sz="0" w:space="0" w:color="auto"/>
        <w:bottom w:val="none" w:sz="0" w:space="0" w:color="auto"/>
        <w:right w:val="none" w:sz="0" w:space="0" w:color="auto"/>
      </w:divBdr>
    </w:div>
    <w:div w:id="1453136165">
      <w:bodyDiv w:val="1"/>
      <w:marLeft w:val="0"/>
      <w:marRight w:val="0"/>
      <w:marTop w:val="0"/>
      <w:marBottom w:val="0"/>
      <w:divBdr>
        <w:top w:val="none" w:sz="0" w:space="0" w:color="auto"/>
        <w:left w:val="none" w:sz="0" w:space="0" w:color="auto"/>
        <w:bottom w:val="none" w:sz="0" w:space="0" w:color="auto"/>
        <w:right w:val="none" w:sz="0" w:space="0" w:color="auto"/>
      </w:divBdr>
    </w:div>
    <w:div w:id="1500610002">
      <w:bodyDiv w:val="1"/>
      <w:marLeft w:val="0"/>
      <w:marRight w:val="0"/>
      <w:marTop w:val="0"/>
      <w:marBottom w:val="0"/>
      <w:divBdr>
        <w:top w:val="none" w:sz="0" w:space="0" w:color="auto"/>
        <w:left w:val="none" w:sz="0" w:space="0" w:color="auto"/>
        <w:bottom w:val="none" w:sz="0" w:space="0" w:color="auto"/>
        <w:right w:val="none" w:sz="0" w:space="0" w:color="auto"/>
      </w:divBdr>
    </w:div>
    <w:div w:id="1527018636">
      <w:bodyDiv w:val="1"/>
      <w:marLeft w:val="0"/>
      <w:marRight w:val="0"/>
      <w:marTop w:val="0"/>
      <w:marBottom w:val="0"/>
      <w:divBdr>
        <w:top w:val="none" w:sz="0" w:space="0" w:color="auto"/>
        <w:left w:val="none" w:sz="0" w:space="0" w:color="auto"/>
        <w:bottom w:val="none" w:sz="0" w:space="0" w:color="auto"/>
        <w:right w:val="none" w:sz="0" w:space="0" w:color="auto"/>
      </w:divBdr>
    </w:div>
    <w:div w:id="1529563702">
      <w:bodyDiv w:val="1"/>
      <w:marLeft w:val="0"/>
      <w:marRight w:val="0"/>
      <w:marTop w:val="0"/>
      <w:marBottom w:val="0"/>
      <w:divBdr>
        <w:top w:val="none" w:sz="0" w:space="0" w:color="auto"/>
        <w:left w:val="none" w:sz="0" w:space="0" w:color="auto"/>
        <w:bottom w:val="none" w:sz="0" w:space="0" w:color="auto"/>
        <w:right w:val="none" w:sz="0" w:space="0" w:color="auto"/>
      </w:divBdr>
    </w:div>
    <w:div w:id="1574584600">
      <w:bodyDiv w:val="1"/>
      <w:marLeft w:val="0"/>
      <w:marRight w:val="0"/>
      <w:marTop w:val="0"/>
      <w:marBottom w:val="0"/>
      <w:divBdr>
        <w:top w:val="none" w:sz="0" w:space="0" w:color="auto"/>
        <w:left w:val="none" w:sz="0" w:space="0" w:color="auto"/>
        <w:bottom w:val="none" w:sz="0" w:space="0" w:color="auto"/>
        <w:right w:val="none" w:sz="0" w:space="0" w:color="auto"/>
      </w:divBdr>
    </w:div>
    <w:div w:id="1621568372">
      <w:bodyDiv w:val="1"/>
      <w:marLeft w:val="0"/>
      <w:marRight w:val="0"/>
      <w:marTop w:val="0"/>
      <w:marBottom w:val="0"/>
      <w:divBdr>
        <w:top w:val="none" w:sz="0" w:space="0" w:color="auto"/>
        <w:left w:val="none" w:sz="0" w:space="0" w:color="auto"/>
        <w:bottom w:val="none" w:sz="0" w:space="0" w:color="auto"/>
        <w:right w:val="none" w:sz="0" w:space="0" w:color="auto"/>
      </w:divBdr>
    </w:div>
    <w:div w:id="1624265391">
      <w:bodyDiv w:val="1"/>
      <w:marLeft w:val="0"/>
      <w:marRight w:val="0"/>
      <w:marTop w:val="0"/>
      <w:marBottom w:val="0"/>
      <w:divBdr>
        <w:top w:val="none" w:sz="0" w:space="0" w:color="auto"/>
        <w:left w:val="none" w:sz="0" w:space="0" w:color="auto"/>
        <w:bottom w:val="none" w:sz="0" w:space="0" w:color="auto"/>
        <w:right w:val="none" w:sz="0" w:space="0" w:color="auto"/>
      </w:divBdr>
    </w:div>
    <w:div w:id="1701861065">
      <w:bodyDiv w:val="1"/>
      <w:marLeft w:val="0"/>
      <w:marRight w:val="0"/>
      <w:marTop w:val="0"/>
      <w:marBottom w:val="0"/>
      <w:divBdr>
        <w:top w:val="none" w:sz="0" w:space="0" w:color="auto"/>
        <w:left w:val="none" w:sz="0" w:space="0" w:color="auto"/>
        <w:bottom w:val="none" w:sz="0" w:space="0" w:color="auto"/>
        <w:right w:val="none" w:sz="0" w:space="0" w:color="auto"/>
      </w:divBdr>
    </w:div>
    <w:div w:id="1729525828">
      <w:bodyDiv w:val="1"/>
      <w:marLeft w:val="0"/>
      <w:marRight w:val="0"/>
      <w:marTop w:val="0"/>
      <w:marBottom w:val="0"/>
      <w:divBdr>
        <w:top w:val="none" w:sz="0" w:space="0" w:color="auto"/>
        <w:left w:val="none" w:sz="0" w:space="0" w:color="auto"/>
        <w:bottom w:val="none" w:sz="0" w:space="0" w:color="auto"/>
        <w:right w:val="none" w:sz="0" w:space="0" w:color="auto"/>
      </w:divBdr>
    </w:div>
    <w:div w:id="1772313951">
      <w:bodyDiv w:val="1"/>
      <w:marLeft w:val="0"/>
      <w:marRight w:val="0"/>
      <w:marTop w:val="0"/>
      <w:marBottom w:val="0"/>
      <w:divBdr>
        <w:top w:val="none" w:sz="0" w:space="0" w:color="auto"/>
        <w:left w:val="none" w:sz="0" w:space="0" w:color="auto"/>
        <w:bottom w:val="none" w:sz="0" w:space="0" w:color="auto"/>
        <w:right w:val="none" w:sz="0" w:space="0" w:color="auto"/>
      </w:divBdr>
    </w:div>
    <w:div w:id="1784032649">
      <w:bodyDiv w:val="1"/>
      <w:marLeft w:val="0"/>
      <w:marRight w:val="0"/>
      <w:marTop w:val="0"/>
      <w:marBottom w:val="0"/>
      <w:divBdr>
        <w:top w:val="none" w:sz="0" w:space="0" w:color="auto"/>
        <w:left w:val="none" w:sz="0" w:space="0" w:color="auto"/>
        <w:bottom w:val="none" w:sz="0" w:space="0" w:color="auto"/>
        <w:right w:val="none" w:sz="0" w:space="0" w:color="auto"/>
      </w:divBdr>
    </w:div>
    <w:div w:id="1828396695">
      <w:bodyDiv w:val="1"/>
      <w:marLeft w:val="0"/>
      <w:marRight w:val="0"/>
      <w:marTop w:val="0"/>
      <w:marBottom w:val="0"/>
      <w:divBdr>
        <w:top w:val="none" w:sz="0" w:space="0" w:color="auto"/>
        <w:left w:val="none" w:sz="0" w:space="0" w:color="auto"/>
        <w:bottom w:val="none" w:sz="0" w:space="0" w:color="auto"/>
        <w:right w:val="none" w:sz="0" w:space="0" w:color="auto"/>
      </w:divBdr>
    </w:div>
    <w:div w:id="1875385056">
      <w:bodyDiv w:val="1"/>
      <w:marLeft w:val="0"/>
      <w:marRight w:val="0"/>
      <w:marTop w:val="0"/>
      <w:marBottom w:val="0"/>
      <w:divBdr>
        <w:top w:val="none" w:sz="0" w:space="0" w:color="auto"/>
        <w:left w:val="none" w:sz="0" w:space="0" w:color="auto"/>
        <w:bottom w:val="none" w:sz="0" w:space="0" w:color="auto"/>
        <w:right w:val="none" w:sz="0" w:space="0" w:color="auto"/>
      </w:divBdr>
    </w:div>
    <w:div w:id="1886093189">
      <w:bodyDiv w:val="1"/>
      <w:marLeft w:val="0"/>
      <w:marRight w:val="0"/>
      <w:marTop w:val="0"/>
      <w:marBottom w:val="0"/>
      <w:divBdr>
        <w:top w:val="none" w:sz="0" w:space="0" w:color="auto"/>
        <w:left w:val="none" w:sz="0" w:space="0" w:color="auto"/>
        <w:bottom w:val="none" w:sz="0" w:space="0" w:color="auto"/>
        <w:right w:val="none" w:sz="0" w:space="0" w:color="auto"/>
      </w:divBdr>
    </w:div>
    <w:div w:id="1906646867">
      <w:bodyDiv w:val="1"/>
      <w:marLeft w:val="0"/>
      <w:marRight w:val="0"/>
      <w:marTop w:val="0"/>
      <w:marBottom w:val="0"/>
      <w:divBdr>
        <w:top w:val="none" w:sz="0" w:space="0" w:color="auto"/>
        <w:left w:val="none" w:sz="0" w:space="0" w:color="auto"/>
        <w:bottom w:val="none" w:sz="0" w:space="0" w:color="auto"/>
        <w:right w:val="none" w:sz="0" w:space="0" w:color="auto"/>
      </w:divBdr>
    </w:div>
    <w:div w:id="1928926586">
      <w:bodyDiv w:val="1"/>
      <w:marLeft w:val="0"/>
      <w:marRight w:val="0"/>
      <w:marTop w:val="0"/>
      <w:marBottom w:val="0"/>
      <w:divBdr>
        <w:top w:val="none" w:sz="0" w:space="0" w:color="auto"/>
        <w:left w:val="none" w:sz="0" w:space="0" w:color="auto"/>
        <w:bottom w:val="none" w:sz="0" w:space="0" w:color="auto"/>
        <w:right w:val="none" w:sz="0" w:space="0" w:color="auto"/>
      </w:divBdr>
    </w:div>
    <w:div w:id="1944417205">
      <w:bodyDiv w:val="1"/>
      <w:marLeft w:val="0"/>
      <w:marRight w:val="0"/>
      <w:marTop w:val="0"/>
      <w:marBottom w:val="0"/>
      <w:divBdr>
        <w:top w:val="none" w:sz="0" w:space="0" w:color="auto"/>
        <w:left w:val="none" w:sz="0" w:space="0" w:color="auto"/>
        <w:bottom w:val="none" w:sz="0" w:space="0" w:color="auto"/>
        <w:right w:val="none" w:sz="0" w:space="0" w:color="auto"/>
      </w:divBdr>
    </w:div>
    <w:div w:id="1952514338">
      <w:bodyDiv w:val="1"/>
      <w:marLeft w:val="0"/>
      <w:marRight w:val="0"/>
      <w:marTop w:val="0"/>
      <w:marBottom w:val="0"/>
      <w:divBdr>
        <w:top w:val="none" w:sz="0" w:space="0" w:color="auto"/>
        <w:left w:val="none" w:sz="0" w:space="0" w:color="auto"/>
        <w:bottom w:val="none" w:sz="0" w:space="0" w:color="auto"/>
        <w:right w:val="none" w:sz="0" w:space="0" w:color="auto"/>
      </w:divBdr>
    </w:div>
    <w:div w:id="1966231895">
      <w:bodyDiv w:val="1"/>
      <w:marLeft w:val="0"/>
      <w:marRight w:val="0"/>
      <w:marTop w:val="0"/>
      <w:marBottom w:val="0"/>
      <w:divBdr>
        <w:top w:val="none" w:sz="0" w:space="0" w:color="auto"/>
        <w:left w:val="none" w:sz="0" w:space="0" w:color="auto"/>
        <w:bottom w:val="none" w:sz="0" w:space="0" w:color="auto"/>
        <w:right w:val="none" w:sz="0" w:space="0" w:color="auto"/>
      </w:divBdr>
    </w:div>
    <w:div w:id="1966308872">
      <w:bodyDiv w:val="1"/>
      <w:marLeft w:val="0"/>
      <w:marRight w:val="0"/>
      <w:marTop w:val="0"/>
      <w:marBottom w:val="0"/>
      <w:divBdr>
        <w:top w:val="none" w:sz="0" w:space="0" w:color="auto"/>
        <w:left w:val="none" w:sz="0" w:space="0" w:color="auto"/>
        <w:bottom w:val="none" w:sz="0" w:space="0" w:color="auto"/>
        <w:right w:val="none" w:sz="0" w:space="0" w:color="auto"/>
      </w:divBdr>
    </w:div>
    <w:div w:id="1978953732">
      <w:bodyDiv w:val="1"/>
      <w:marLeft w:val="0"/>
      <w:marRight w:val="0"/>
      <w:marTop w:val="0"/>
      <w:marBottom w:val="0"/>
      <w:divBdr>
        <w:top w:val="none" w:sz="0" w:space="0" w:color="auto"/>
        <w:left w:val="none" w:sz="0" w:space="0" w:color="auto"/>
        <w:bottom w:val="none" w:sz="0" w:space="0" w:color="auto"/>
        <w:right w:val="none" w:sz="0" w:space="0" w:color="auto"/>
      </w:divBdr>
    </w:div>
    <w:div w:id="1980723704">
      <w:bodyDiv w:val="1"/>
      <w:marLeft w:val="0"/>
      <w:marRight w:val="0"/>
      <w:marTop w:val="0"/>
      <w:marBottom w:val="0"/>
      <w:divBdr>
        <w:top w:val="none" w:sz="0" w:space="0" w:color="auto"/>
        <w:left w:val="none" w:sz="0" w:space="0" w:color="auto"/>
        <w:bottom w:val="none" w:sz="0" w:space="0" w:color="auto"/>
        <w:right w:val="none" w:sz="0" w:space="0" w:color="auto"/>
      </w:divBdr>
    </w:div>
    <w:div w:id="2031376607">
      <w:bodyDiv w:val="1"/>
      <w:marLeft w:val="0"/>
      <w:marRight w:val="0"/>
      <w:marTop w:val="0"/>
      <w:marBottom w:val="0"/>
      <w:divBdr>
        <w:top w:val="none" w:sz="0" w:space="0" w:color="auto"/>
        <w:left w:val="none" w:sz="0" w:space="0" w:color="auto"/>
        <w:bottom w:val="none" w:sz="0" w:space="0" w:color="auto"/>
        <w:right w:val="none" w:sz="0" w:space="0" w:color="auto"/>
      </w:divBdr>
    </w:div>
    <w:div w:id="2037074154">
      <w:bodyDiv w:val="1"/>
      <w:marLeft w:val="0"/>
      <w:marRight w:val="0"/>
      <w:marTop w:val="0"/>
      <w:marBottom w:val="0"/>
      <w:divBdr>
        <w:top w:val="none" w:sz="0" w:space="0" w:color="auto"/>
        <w:left w:val="none" w:sz="0" w:space="0" w:color="auto"/>
        <w:bottom w:val="none" w:sz="0" w:space="0" w:color="auto"/>
        <w:right w:val="none" w:sz="0" w:space="0" w:color="auto"/>
      </w:divBdr>
    </w:div>
    <w:div w:id="2042434479">
      <w:bodyDiv w:val="1"/>
      <w:marLeft w:val="0"/>
      <w:marRight w:val="0"/>
      <w:marTop w:val="0"/>
      <w:marBottom w:val="0"/>
      <w:divBdr>
        <w:top w:val="none" w:sz="0" w:space="0" w:color="auto"/>
        <w:left w:val="none" w:sz="0" w:space="0" w:color="auto"/>
        <w:bottom w:val="none" w:sz="0" w:space="0" w:color="auto"/>
        <w:right w:val="none" w:sz="0" w:space="0" w:color="auto"/>
      </w:divBdr>
    </w:div>
    <w:div w:id="2049912162">
      <w:bodyDiv w:val="1"/>
      <w:marLeft w:val="0"/>
      <w:marRight w:val="0"/>
      <w:marTop w:val="0"/>
      <w:marBottom w:val="0"/>
      <w:divBdr>
        <w:top w:val="none" w:sz="0" w:space="0" w:color="auto"/>
        <w:left w:val="none" w:sz="0" w:space="0" w:color="auto"/>
        <w:bottom w:val="none" w:sz="0" w:space="0" w:color="auto"/>
        <w:right w:val="none" w:sz="0" w:space="0" w:color="auto"/>
      </w:divBdr>
    </w:div>
    <w:div w:id="2123113360">
      <w:bodyDiv w:val="1"/>
      <w:marLeft w:val="0"/>
      <w:marRight w:val="0"/>
      <w:marTop w:val="0"/>
      <w:marBottom w:val="0"/>
      <w:divBdr>
        <w:top w:val="none" w:sz="0" w:space="0" w:color="auto"/>
        <w:left w:val="none" w:sz="0" w:space="0" w:color="auto"/>
        <w:bottom w:val="none" w:sz="0" w:space="0" w:color="auto"/>
        <w:right w:val="none" w:sz="0" w:space="0" w:color="auto"/>
      </w:divBdr>
    </w:div>
    <w:div w:id="2126607736">
      <w:bodyDiv w:val="1"/>
      <w:marLeft w:val="0"/>
      <w:marRight w:val="0"/>
      <w:marTop w:val="0"/>
      <w:marBottom w:val="0"/>
      <w:divBdr>
        <w:top w:val="none" w:sz="0" w:space="0" w:color="auto"/>
        <w:left w:val="none" w:sz="0" w:space="0" w:color="auto"/>
        <w:bottom w:val="none" w:sz="0" w:space="0" w:color="auto"/>
        <w:right w:val="none" w:sz="0" w:space="0" w:color="auto"/>
      </w:divBdr>
    </w:div>
    <w:div w:id="214034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ydazuzu@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Ric06</b:Tag>
    <b:SourceType>Book</b:SourceType>
    <b:Guid>{88430306-DBB3-4E2D-B649-362BC1D11A8B}</b:Guid>
    <b:Title>Correlation Coefficients :  the Meaning of Correlation</b:Title>
    <b:Year>2006</b:Year>
    <b:Publisher>Rick Yount</b:Publisher>
    <b:Author>
      <b:Author>
        <b:NameList>
          <b:Person>
            <b:Last>Yount</b:Last>
            <b:First>Rick</b:First>
          </b:Person>
        </b:NameList>
      </b:Author>
    </b:Author>
    <b:RefOrder>8</b:RefOrder>
  </b:Source>
  <b:Source>
    <b:Tag>Fen15</b:Tag>
    <b:SourceType>JournalArticle</b:SourceType>
    <b:Guid>{E5AA78C3-EDE9-4F8C-8C28-F526442BFBF3}</b:Guid>
    <b:Title>META ANALYSIS ON THE DETERMINANTS OF COMMERCIAL BANK’S PROFITABILITY: (A CONCEPTUAL FRAME WORK AND MODELLING)</b:Title>
    <b:Year>2015</b:Year>
    <b:Pages>323 - 351</b:Pages>
    <b:Author>
      <b:Author>
        <b:NameList>
          <b:Person>
            <b:Last>Fisseha</b:Last>
            <b:First>Fentaw</b:First>
            <b:Middle>Leykun</b:Middle>
          </b:Person>
        </b:NameList>
      </b:Author>
    </b:Author>
    <b:JournalName>European Scientific Journal</b:JournalName>
    <b:Volume>11</b:Volume>
    <b:Issue>19</b:Issue>
    <b:RefOrder>9</b:RefOrder>
  </b:Source>
  <b:Source>
    <b:Tag>Lev00</b:Tag>
    <b:SourceType>JournalArticle</b:SourceType>
    <b:Guid>{18AC78CF-27A5-4D60-9FE5-72156942D6B3}</b:Guid>
    <b:Title>Financial intermediation and growth: Causality and causes</b:Title>
    <b:JournalName>Journal of Monetary Economics</b:JournalName>
    <b:Year>2000</b:Year>
    <b:Pages>31-77</b:Pages>
    <b:Author>
      <b:Author>
        <b:Corporate>Levine, R., &amp; Loayza, N.</b:Corporate>
      </b:Author>
    </b:Author>
    <b:Volume>4</b:Volume>
    <b:Issue>46</b:Issue>
    <b:RefOrder>10</b:RefOrder>
  </b:Source>
  <b:Source>
    <b:Tag>Man14</b:Tag>
    <b:SourceType>Book</b:SourceType>
    <b:Guid>{C7C71034-C158-46AE-92AB-B2E2E042D418}</b:Guid>
    <b:Title>A History of Bank Failures in the United States.</b:Title>
    <b:Year>2014</b:Year>
    <b:Author>
      <b:Author>
        <b:NameList>
          <b:Person>
            <b:Last>Manuel</b:Last>
            <b:First>D.</b:First>
          </b:Person>
        </b:NameList>
      </b:Author>
    </b:Author>
    <b:City>New York </b:City>
    <b:Publisher>DaveEmma</b:Publisher>
    <b:RefOrder>11</b:RefOrder>
  </b:Source>
  <b:Source>
    <b:Tag>Lal14</b:Tag>
    <b:SourceType>JournalArticle</b:SourceType>
    <b:Guid>{6783EAD9-0D9D-4733-A18E-3319917EE59E}</b:Guid>
    <b:Title>Factors affecting U.S. Banking Performance: Evidence From the 2007-2013 Financial Crisis</b:Title>
    <b:Year>2014</b:Year>
    <b:Author>
      <b:Author>
        <b:NameList>
          <b:Person>
            <b:Last>Pooran</b:Last>
            <b:First>Lall</b:First>
          </b:Person>
        </b:NameList>
      </b:Author>
    </b:Author>
    <b:Volume>3</b:Volume>
    <b:Pages>282 - 295</b:Pages>
    <b:JournalName>International Journal of Economics, Finance and Management</b:JournalName>
    <b:Issue>6</b:Issue>
    <b:RefOrder>12</b:RefOrder>
  </b:Source>
  <b:Source>
    <b:Tag>Vin13</b:Tag>
    <b:SourceType>JournalArticle</b:SourceType>
    <b:Guid>{5AF80AF3-29FF-4B59-89C1-00B61D28B213}</b:Guid>
    <b:Title>Determinants of Financial Performance of Commercial Banks in Kenya</b:Title>
    <b:JournalName>International Journal of Economics and Financial Issues</b:JournalName>
    <b:Year>2013</b:Year>
    <b:Pages>237-252</b:Pages>
    <b:Author>
      <b:Author>
        <b:NameList>
          <b:Person>
            <b:Last>Ongore</b:Last>
            <b:First>Vincent</b:First>
            <b:Middle>Okoth</b:Middle>
          </b:Person>
        </b:NameList>
      </b:Author>
    </b:Author>
    <b:Volume>3</b:Volume>
    <b:Issue>1</b:Issue>
    <b:RefOrder>6</b:RefOrder>
  </b:Source>
  <b:Source>
    <b:Tag>Sus14</b:Tag>
    <b:SourceType>JournalArticle</b:SourceType>
    <b:Guid>{799B9409-342C-426A-8AD4-69E8FA986542}</b:Guid>
    <b:Title>The Analysis of Profitability of Kenya`s Top Six Commercial Banks: Internal Factor Analysis</b:Title>
    <b:JournalName>American International Journal of Social Science</b:JournalName>
    <b:Year>2014</b:Year>
    <b:Pages>94 - 103</b:Pages>
    <b:Author>
      <b:Author>
        <b:NameList>
          <b:Person>
            <b:Last>Onuonga</b:Last>
            <b:First>Susan</b:First>
            <b:Middle>Moraa</b:Middle>
          </b:Person>
        </b:NameList>
      </b:Author>
    </b:Author>
    <b:Volume>Vol.3</b:Volume>
    <b:Issue>5</b:Issue>
    <b:RefOrder>1</b:RefOrder>
  </b:Source>
  <b:Source>
    <b:Tag>Ine13</b:Tag>
    <b:SourceType>JournalArticle</b:SourceType>
    <b:Guid>{924A14AF-D074-48C9-B6BB-B5DFB6398364}</b:Guid>
    <b:Title>Explanatory Factors of Bank Performance Evidence from Tunisia</b:Title>
    <b:JournalName>International Journal of Economics, Finance and Management</b:JournalName>
    <b:Year>2013</b:Year>
    <b:Pages>143 - 152</b:Pages>
    <b:Author>
      <b:Author>
        <b:Corporate>Ines, G. B., &amp;  Sonia, M. M.</b:Corporate>
      </b:Author>
    </b:Author>
    <b:Volume>2</b:Volume>
    <b:Issue>1</b:Issue>
    <b:RefOrder>13</b:RefOrder>
  </b:Source>
  <b:Source>
    <b:Tag>Bru15</b:Tag>
    <b:SourceType>JournalArticle</b:SourceType>
    <b:Guid>{C2D0E1AF-560A-4573-8120-7D31BE7F1A21}</b:Guid>
    <b:Title>FACTORS INFLUENCING THE BANK PROFITABILITY</b:Title>
    <b:JournalName>Asian Economic and Financial Review</b:JournalName>
    <b:Year>2015</b:Year>
    <b:Pages>483-494</b:Pages>
    <b:Author>
      <b:Author>
        <b:Corporate>Brunilda, D. &amp; Elvana, M.</b:Corporate>
      </b:Author>
    </b:Author>
    <b:Volume>5</b:Volume>
    <b:Issue>3</b:Issue>
    <b:RefOrder>14</b:RefOrder>
  </b:Source>
  <b:Source>
    <b:Tag>Chr14</b:Tag>
    <b:SourceType>JournalArticle</b:SourceType>
    <b:Guid>{D7399CA8-F734-4320-BE2A-F7000DCD089B}</b:Guid>
    <b:Title>The Determinants Of European Bank Profitability</b:Title>
    <b:JournalName>International Business &amp; Economics Research Journal</b:JournalName>
    <b:Year>2014</b:Year>
    <b:Pages>57 - 68</b:Pages>
    <b:Author>
      <b:Author>
        <b:Corporate>Christos, K. S. &amp; Geoffrey, E. W.</b:Corporate>
      </b:Author>
    </b:Author>
    <b:Volume>3</b:Volume>
    <b:Issue>6</b:Issue>
    <b:RefOrder>15</b:RefOrder>
  </b:Source>
  <b:Source>
    <b:Tag>MIN131</b:Tag>
    <b:SourceType>Report</b:SourceType>
    <b:Guid>{9B7BAF71-8367-4287-A757-4037A59B9E4A}</b:Guid>
    <b:Title>RWANDA FINANCIAL SECTOR STRATEGY</b:Title>
    <b:Year>2015</b:Year>
    <b:Author>
      <b:Author>
        <b:Corporate>Ministry of Finance and Economic Planning [MINECOFINE]</b:Corporate>
      </b:Author>
    </b:Author>
    <b:Publisher>Government of Rwanda</b:Publisher>
    <b:City>Kigali</b:City>
    <b:RefOrder>16</b:RefOrder>
  </b:Source>
  <b:Source>
    <b:Tag>Placeholder2</b:Tag>
    <b:SourceType>Report</b:SourceType>
    <b:Guid>{57D36E50-2E4B-4FA0-8D16-168C66B660C2}</b:Guid>
    <b:Title>Bank of KIgali [BK] annual report 2014</b:Title>
    <b:Year>2014</b:Year>
    <b:Publisher>Bank of KIgali [BK]</b:Publisher>
    <b:City>Kigali / Rwnda</b:City>
    <b:Author>
      <b:Author>
        <b:Corporate>Bank of KIgali [BK]</b:Corporate>
      </b:Author>
    </b:Author>
    <b:RefOrder>17</b:RefOrder>
  </b:Source>
  <b:Source>
    <b:Tag>Waq14</b:Tag>
    <b:SourceType>JournalArticle</b:SourceType>
    <b:Guid>{11AAE39C-A0BD-4D55-BB98-A339E6B8955F}</b:Guid>
    <b:Title>Determinants of Commercial Banks Profitability: Empirical Evidence from Pakistan</b:Title>
    <b:JournalName>International Journal of Accounting and Financial Reporting</b:JournalName>
    <b:Year>2014</b:Year>
    <b:Pages>1 - 22</b:Pages>
    <b:Author>
      <b:Author>
        <b:Corporate>Waqas, T., Muhammad, U., Haseeb, Z., Inam, A., &amp; Imran, A.</b:Corporate>
      </b:Author>
    </b:Author>
    <b:Volume>4</b:Volume>
    <b:Issue>2</b:Issue>
    <b:RefOrder>18</b:RefOrder>
  </b:Source>
  <b:Source>
    <b:Tag>Ong13</b:Tag>
    <b:SourceType>JournalArticle</b:SourceType>
    <b:Guid>{0EACAB8C-4950-411A-9826-8B011DB685F2}</b:Guid>
    <b:Title>Factors affecting the profitability of Malaysian commercial banks</b:Title>
    <b:JournalName>African Journal of Business Management</b:JournalName>
    <b:Year>2013</b:Year>
    <b:Pages>649-660</b:Pages>
    <b:Author>
      <b:Author>
        <b:Corporate>Ong, T. S. &amp; Teh, B. H.</b:Corporate>
      </b:Author>
    </b:Author>
    <b:Volume>7</b:Volume>
    <b:Issue>8</b:Issue>
    <b:RefOrder>19</b:RefOrder>
  </b:Source>
  <b:Source>
    <b:Tag>Vin131</b:Tag>
    <b:SourceType>JournalArticle</b:SourceType>
    <b:Guid>{212770FF-761F-4BAF-8E9D-D18CEF7E4370}</b:Guid>
    <b:Title>Determinants of Financial Performance of Commercial Banks in Kenya</b:Title>
    <b:JournalName>International Journal of Economics and Financial Issues</b:JournalName>
    <b:Year>2013</b:Year>
    <b:Pages>237-252</b:Pages>
    <b:Author>
      <b:Author>
        <b:Corporate>Vincent, O. &amp; Gemechu, B.</b:Corporate>
      </b:Author>
    </b:Author>
    <b:Volume>3</b:Volume>
    <b:Issue>1</b:Issue>
    <b:RefOrder>20</b:RefOrder>
  </b:Source>
  <b:Source>
    <b:Tag>Sus141</b:Tag>
    <b:SourceType>JournalArticle</b:SourceType>
    <b:Guid>{6453C50E-3ED8-4E0E-B94C-D7424F7FD77D}</b:Guid>
    <b:Title>The Analysis of Profitability of Kenya`s Top Six Commercial Banks: Internal Factor Analysis</b:Title>
    <b:JournalName>American International Journal of Social Science</b:JournalName>
    <b:Year>2014</b:Year>
    <b:Pages>94 - 103</b:Pages>
    <b:Author>
      <b:Author>
        <b:Corporate>Onuonga, S.</b:Corporate>
      </b:Author>
    </b:Author>
    <b:Volume>Vol.3</b:Volume>
    <b:Issue>5</b:Issue>
    <b:RefOrder>21</b:RefOrder>
  </b:Source>
  <b:Source>
    <b:Tag>Fra131</b:Tag>
    <b:SourceType>JournalArticle</b:SourceType>
    <b:Guid>{876F4012-F00C-482D-9ED3-4E3EA7B7BB4D}</b:Guid>
    <b:Title>Determinants of Commercial Bank Profitability in Sub-Saharan Africa</b:Title>
    <b:JournalName>International Journal of Economics and Finance</b:JournalName>
    <b:Year>2013</b:Year>
    <b:Pages>11 - 24</b:Pages>
    <b:Author>
      <b:Author>
        <b:NameList>
          <b:Person>
            <b:Last>Francis</b:Last>
            <b:First>M.E.</b:First>
          </b:Person>
        </b:NameList>
      </b:Author>
    </b:Author>
    <b:Volume>5</b:Volume>
    <b:Issue>9</b:Issue>
    <b:RefOrder>2</b:RefOrder>
  </b:Source>
  <b:Source>
    <b:Tag>Lip14</b:Tag>
    <b:SourceType>JournalArticle</b:SourceType>
    <b:Guid>{A60B38B5-3C1D-4793-B6AC-5A63A0819F36}</b:Guid>
    <b:Title>Determinants of Profitability of Listed Commercial Banks in Developing Countries: Evidence from Malawi</b:Title>
    <b:JournalName>Research Journal of Finance and Accounting</b:JournalName>
    <b:Year>2014</b:Year>
    <b:Pages>12 - 25</b:Pages>
    <b:Author>
      <b:Author>
        <b:NameList>
          <b:Person>
            <b:Last>Lipunga</b:Last>
            <b:First>A.M.</b:First>
          </b:Person>
        </b:NameList>
      </b:Author>
    </b:Author>
    <b:Volume>5</b:Volume>
    <b:Issue>6</b:Issue>
    <b:RefOrder>22</b:RefOrder>
  </b:Source>
  <b:Source>
    <b:Tag>Aya13</b:Tag>
    <b:SourceType>JournalArticle</b:SourceType>
    <b:Guid>{8AD0A499-C165-458D-A72B-EB919E94A648}</b:Guid>
    <b:Title>Determinants of banks’ profitability in developing economy: evidence from Nigerian banking industry.</b:Title>
    <b:JournalName>Interdisciplinary Journal of contemporary research in business</b:JournalName>
    <b:Year>2013</b:Year>
    <b:Pages>155-181</b:Pages>
    <b:Author>
      <b:Author>
        <b:Corporate>Ayanda, A. M., Christopher, E. I., &amp; Mudashiru, M. A.</b:Corporate>
      </b:Author>
    </b:Author>
    <b:Volume>4</b:Volume>
    <b:Issue>2</b:Issue>
    <b:RefOrder>23</b:RefOrder>
  </b:Source>
  <b:Source>
    <b:Tag>Kig14</b:Tag>
    <b:SourceType>JournalArticle</b:SourceType>
    <b:Guid>{EB14C9DA-5DFF-4F7E-9F39-724E67F949AF}</b:Guid>
    <b:Title>Effect of Macroeconomic Factors on Commercial Banks Profitability in Kenya: Case of Equity Bank Limited</b:Title>
    <b:JournalName>Journal of Economics and Sustainable Development</b:JournalName>
    <b:Year>2014</b:Year>
    <b:Pages>1 - 12</b:Pages>
    <b:Author>
      <b:Author>
        <b:NameList>
          <b:Person>
            <b:Last>Kiganda</b:Last>
            <b:First>K</b:First>
          </b:Person>
        </b:NameList>
      </b:Author>
    </b:Author>
    <b:Volume>5</b:Volume>
    <b:Issue>2</b:Issue>
    <b:RefOrder>24</b:RefOrder>
  </b:Source>
  <b:Source>
    <b:Tag>Vin121</b:Tag>
    <b:SourceType>JournalArticle</b:SourceType>
    <b:Guid>{46FB86B0-9007-4170-A9E0-28CE87CF4695}</b:Guid>
    <b:Title>The effects of credit policy on bank performance: Evidence from selected Rwandan Commercial banks</b:Title>
    <b:JournalName>Rwanda Journal</b:JournalName>
    <b:Year>2012</b:Year>
    <b:Pages>116 - 119</b:Pages>
    <b:Author>
      <b:Author>
        <b:Corporate>Vincent, B. &amp; David, N.</b:Corporate>
      </b:Author>
    </b:Author>
    <b:Volume>26</b:Volume>
    <b:Issue>2</b:Issue>
    <b:RefOrder>25</b:RefOrder>
  </b:Source>
  <b:Source>
    <b:Tag>Kar13</b:Tag>
    <b:SourceType>JournalArticle</b:SourceType>
    <b:Guid>{4183D569-20A2-4138-80D6-974188125C99}</b:Guid>
    <b:Title>Institutional Investors’ Perceptions on Quality of Financial Reporting in Kenya</b:Title>
    <b:JournalName>International Journal of Humanities and Social Science</b:JournalName>
    <b:Year>2013</b:Year>
    <b:Pages>PP.144 - 156</b:Pages>
    <b:Author>
      <b:Author>
        <b:Corporate>Kariuki, G. &amp; Jagongo, A.</b:Corporate>
      </b:Author>
    </b:Author>
    <b:Volume>Vol.3</b:Volume>
    <b:Issue>21</b:Issue>
    <b:RefOrder>26</b:RefOrder>
  </b:Source>
  <b:Source>
    <b:Tag>Pra90</b:Tag>
    <b:SourceType>JournalArticle</b:SourceType>
    <b:Guid>{577BAB59-ACD7-48D1-A597-24E3941AAFB9}</b:Guid>
    <b:Author>
      <b:Author>
        <b:NameList>
          <b:Person>
            <b:Last>Praveen</b:Last>
            <b:First>P.</b:First>
          </b:Person>
        </b:NameList>
      </b:Author>
    </b:Author>
    <b:Title>Information asymmetries: source of competitive advanatage for diversified service firms</b:Title>
    <b:Year>1990</b:Year>
    <b:JournalName>Strategic Management journal</b:JournalName>
    <b:Pages>PP.513-519</b:Pages>
    <b:RefOrder>27</b:RefOrder>
  </b:Source>
  <b:Source>
    <b:Tag>Jam12</b:Tag>
    <b:SourceType>JournalArticle</b:SourceType>
    <b:Guid>{C4955E21-42E0-4F51-B18D-6BDFD27E67BB}</b:Guid>
    <b:Title>Compliance with Regulatory Financial Reporting and Corporate Governance Practices in Selected Primary Mortgage Institutions in Nigeria</b:Title>
    <b:JournalName>International Journal of Business and Social Science</b:JournalName>
    <b:Year>2012</b:Year>
    <b:Pages>PP.246 - 254</b:Pages>
    <b:Author>
      <b:Author>
        <b:Corporate>James, O. A. &amp; Solomon,O .</b:Corporate>
      </b:Author>
    </b:Author>
    <b:Volume>Vol.3</b:Volume>
    <b:Issue>15</b:Issue>
    <b:RefOrder>28</b:RefOrder>
  </b:Source>
  <b:Source>
    <b:Tag>Was11</b:Tag>
    <b:SourceType>JournalArticle</b:SourceType>
    <b:Guid>{D2B7E58A-8CFB-4AD8-8BCB-94B32BDAB81B}</b:Guid>
    <b:Title>The Effect of Corporate Governance on the Performance of Jordanian Industrial Companies: An empirical study on Amman Stock Exchange</b:Title>
    <b:JournalName>International Journal of Humanities and Social Science</b:JournalName>
    <b:Year>2011</b:Year>
    <b:Pages>PP.55 - 69</b:Pages>
    <b:Author>
      <b:Author>
        <b:Corporate>Waseem, M.,Saleh, T. &amp; Fares, J.</b:Corporate>
      </b:Author>
    </b:Author>
    <b:Volume>Vol.1</b:Volume>
    <b:Issue>4</b:Issue>
    <b:RefOrder>29</b:RefOrder>
  </b:Source>
  <b:Source>
    <b:Tag>All04</b:Tag>
    <b:SourceType>JournalArticle</b:SourceType>
    <b:Guid>{E8F2584D-DB9E-4EAF-8D28-697A4605CFF2}</b:Guid>
    <b:Author>
      <b:Author>
        <b:NameList>
          <b:Person>
            <b:Last>Gale</b:Last>
            <b:First>Allen</b:First>
          </b:Person>
        </b:NameList>
      </b:Author>
    </b:Author>
    <b:Title>Competition and financial stability</b:Title>
    <b:Year>2004</b:Year>
    <b:JournalName>Journal of Money Credit and Banking</b:JournalName>
    <b:Pages>pp. 453–481</b:Pages>
    <b:Volume>Vol.36</b:Volume>
    <b:RefOrder>30</b:RefOrder>
  </b:Source>
  <b:Source>
    <b:Tag>Var00</b:Tag>
    <b:SourceType>Book</b:SourceType>
    <b:Guid>{945B12D4-84C8-4F0E-8670-0DA875FB6ED4}</b:Guid>
    <b:Author>
      <b:Author>
        <b:NameList>
          <b:Person>
            <b:Last>Varian</b:Last>
            <b:First>V</b:First>
          </b:Person>
        </b:NameList>
      </b:Author>
    </b:Author>
    <b:Title>Microeconomia:</b:Title>
    <b:Year>2000</b:Year>
    <b:City>Rio de Janeiro</b:City>
    <b:Publisher>W. W. Norton &amp; Company</b:Publisher>
    <b:RefOrder>31</b:RefOrder>
  </b:Source>
  <b:Source>
    <b:Tag>Dul07</b:Tag>
    <b:SourceType>JournalArticle</b:SourceType>
    <b:Guid>{84B615C1-12E7-481B-8B55-5574DF9F432C}</b:Guid>
    <b:Title>Determinants of voluntary disclosures in Kenyan companies annual reports</b:Title>
    <b:JournalName>African Journal of Business Management</b:JournalName>
    <b:Year>2007</b:Year>
    <b:Pages>pp. 113-128</b:Pages>
    <b:Author>
      <b:Author>
        <b:NameList>
          <b:Person>
            <b:Last>Barako</b:Last>
            <b:First>Dulacha</b:First>
            <b:Middle>G</b:Middle>
          </b:Person>
        </b:NameList>
      </b:Author>
    </b:Author>
    <b:Volume>Vol.1</b:Volume>
    <b:Issue>5</b:Issue>
    <b:RefOrder>3</b:RefOrder>
  </b:Source>
  <b:Source>
    <b:Tag>Ade13</b:Tag>
    <b:SourceType>JournalArticle</b:SourceType>
    <b:Guid>{21FF3615-D505-4625-84FE-636121B4B0CB}</b:Guid>
    <b:Title>AN EMPIRICAL INVESTIGATION OF THE FINANCIAL REPORTING PRACTICES AND BANKS’ STABILITY IN NIGERIA</b:Title>
    <b:JournalName>Kuwait Chapter of Arabian Journal of Business and Management Review</b:JournalName>
    <b:Year>2013</b:Year>
    <b:Pages>PP.157 - 180</b:Pages>
    <b:Author>
      <b:Author>
        <b:Corporate>Adeyemi, A. Adekunle, A. &amp; Taiwo,K.</b:Corporate>
      </b:Author>
    </b:Author>
    <b:Volume>Vol.2</b:Volume>
    <b:Issue>5</b:Issue>
    <b:RefOrder>32</b:RefOrder>
  </b:Source>
  <b:Source>
    <b:Tag>Pau011</b:Tag>
    <b:SourceType>JournalArticle</b:SourceType>
    <b:Guid>{4AB8852B-9588-4282-B1D2-C059770E05E1}</b:Guid>
    <b:Author>
      <b:Author>
        <b:NameList>
          <b:Person>
            <b:Last>Paul</b:Last>
            <b:First>K.</b:First>
          </b:Person>
        </b:NameList>
      </b:Author>
    </b:Author>
    <b:Title>Information asymmetry,Corporate disclosur and Capital markets</b:Title>
    <b:Year>2001</b:Year>
    <b:JournalName>Journal of Accounting and Economics</b:JournalName>
    <b:Pages>pp.405-440</b:Pages>
    <b:Volume>Vol.31</b:Volume>
    <b:RefOrder>33</b:RefOrder>
  </b:Source>
  <b:Source>
    <b:Tag>Ath08</b:Tag>
    <b:SourceType>JournalArticle</b:SourceType>
    <b:Guid>{E0D32CC7-F979-4B61-B7A1-58A25F2802F9}</b:Guid>
    <b:Author>
      <b:Author>
        <b:NameList>
          <b:Person>
            <b:Last>Athanasoglou</b:Last>
            <b:First>P.</b:First>
            <b:Middle>P.</b:Middle>
          </b:Person>
          <b:Person>
            <b:Last>Sophocles</b:Last>
            <b:First>N.</b:First>
            <b:Middle>B.</b:Middle>
          </b:Person>
          <b:Person>
            <b:Last>Delis</b:Last>
            <b:First>M.</b:First>
            <b:Middle>D.</b:Middle>
          </b:Person>
        </b:NameList>
      </b:Author>
    </b:Author>
    <b:Title>Bank-specific, industry-specific and macroeconomic determinants of bank profitability</b:Title>
    <b:Year>2008</b:Year>
    <b:JournalName>International Financial Markets, Institutions and Money</b:JournalName>
    <b:Pages>121-136</b:Pages>
    <b:Volume>18</b:Volume>
    <b:Issue>2</b:Issue>
    <b:RefOrder>34</b:RefOrder>
  </b:Source>
  <b:Source>
    <b:Tag>Dem99</b:Tag>
    <b:SourceType>JournalArticle</b:SourceType>
    <b:Guid>{C831C578-0CE4-49CC-BD09-2DEA9C232B97}</b:Guid>
    <b:Author>
      <b:Author>
        <b:NameList>
          <b:Person>
            <b:Last>Demirgüç-Kunt</b:Last>
            <b:First>A.</b:First>
          </b:Person>
          <b:Person>
            <b:Last>Huizinga</b:Last>
            <b:First>H.</b:First>
          </b:Person>
        </b:NameList>
      </b:Author>
    </b:Author>
    <b:Title>Determinants of Commercial Bank Interest Margins and Profitability: Some International Evidence</b:Title>
    <b:JournalName>The World Bank Economic Review</b:JournalName>
    <b:Year>1999</b:Year>
    <b:Pages>379-408</b:Pages>
    <b:Volume>13</b:Volume>
    <b:Issue>2</b:Issue>
    <b:RefOrder>35</b:RefOrder>
  </b:Source>
  <b:Source>
    <b:Tag>Mol92</b:Tag>
    <b:SourceType>JournalArticle</b:SourceType>
    <b:Guid>{FB3A78C0-DDB4-482F-96AC-71E94AFF1EDA}</b:Guid>
    <b:Author>
      <b:Author>
        <b:NameList>
          <b:Person>
            <b:Last>Molyneux</b:Last>
            <b:First>P.</b:First>
          </b:Person>
          <b:Person>
            <b:Last>Thornton</b:Last>
            <b:First>J.</b:First>
          </b:Person>
        </b:NameList>
      </b:Author>
    </b:Author>
    <b:Title>Determinants of European bank profitability: A note</b:Title>
    <b:Year>1992</b:Year>
    <b:JournalName>Journal of Banking and Finance</b:JournalName>
    <b:Pages>1173-1178</b:Pages>
    <b:Volume>16</b:Volume>
    <b:Issue>6</b:Issue>
    <b:RefOrder>36</b:RefOrder>
  </b:Source>
  <b:Source>
    <b:Tag>Ber95</b:Tag>
    <b:SourceType>JournalArticle</b:SourceType>
    <b:Guid>{16FE4B44-8803-440C-BE9C-6C973DB7EB9A}</b:Guid>
    <b:Author>
      <b:Author>
        <b:Corporate>Berger, A. N.</b:Corporate>
      </b:Author>
    </b:Author>
    <b:Title>The Relationship between Capital and Earnings in Banking</b:Title>
    <b:Year>1995</b:Year>
    <b:JournalName>Journal of Money, Credit and Banking</b:JournalName>
    <b:Pages>432-456</b:Pages>
    <b:Volume>27</b:Volume>
    <b:Issue>2</b:Issue>
    <b:RefOrder>37</b:RefOrder>
  </b:Source>
  <b:Source>
    <b:Tag>Alt04</b:Tag>
    <b:SourceType>JournalArticle</b:SourceType>
    <b:Guid>{4953B918-1DA1-4D2B-9019-57824EDFF4EB}</b:Guid>
    <b:Author>
      <b:Author>
        <b:NameList>
          <b:Person>
            <b:Last>Altunbas</b:Last>
            <b:First>Y.</b:First>
          </b:Person>
          <b:Person>
            <b:Last>Evans</b:Last>
            <b:First>L.</b:First>
          </b:Person>
          <b:Person>
            <b:Last>Molyneux</b:Last>
            <b:First>P.</b:First>
          </b:Person>
        </b:NameList>
      </b:Author>
    </b:Author>
    <b:Title>Bank Ownership and Efficiency</b:Title>
    <b:Year>2001</b:Year>
    <b:JournalName>Journal of Money, Credit and Banking</b:JournalName>
    <b:Pages>926-954</b:Pages>
    <b:Volume>33</b:Volume>
    <b:Issue>4</b:Issue>
    <b:RefOrder>38</b:RefOrder>
  </b:Source>
  <b:Source>
    <b:Tag>Sho79</b:Tag>
    <b:SourceType>JournalArticle</b:SourceType>
    <b:Guid>{1B964055-555F-4D8B-ADA4-4D501DB3534C}</b:Guid>
    <b:Author>
      <b:Author>
        <b:NameList>
          <b:Person>
            <b:Last>Short</b:Last>
            <b:First>B.</b:First>
            <b:Middle>K.</b:Middle>
          </b:Person>
        </b:NameList>
      </b:Author>
    </b:Author>
    <b:Title>The relation between commercial bank profit rates and banking concentration in Canada, Western Europe, and Japan</b:Title>
    <b:JournalName>Journal of Banking and Finance</b:JournalName>
    <b:Year>1979</b:Year>
    <b:Pages>209-219</b:Pages>
    <b:Volume>3</b:Volume>
    <b:Issue>3</b:Issue>
    <b:RefOrder>5</b:RefOrder>
  </b:Source>
  <b:Source>
    <b:Tag>Aya10</b:Tag>
    <b:SourceType>Book</b:SourceType>
    <b:Guid>{2ED23AD5-D505-4CA1-BAE5-B3C1A3CAF66F}</b:Guid>
    <b:Author>
      <b:Author>
        <b:NameList>
          <b:Person>
            <b:Last>Ayadi</b:Last>
            <b:First>R.</b:First>
          </b:Person>
          <b:Person>
            <b:Last>Llewellyn</b:Last>
            <b:First>D.</b:First>
            <b:Middle>T.</b:Middle>
          </b:Person>
          <b:Person>
            <b:Last>Schmidt</b:Last>
            <b:First>R.</b:First>
            <b:Middle>H.</b:Middle>
          </b:Person>
          <b:Person>
            <b:Last>Arbak</b:Last>
            <b:First>E.</b:First>
          </b:Person>
          <b:Person>
            <b:Last>De Groen</b:Last>
            <b:First>W.</b:First>
            <b:Middle>P.</b:Middle>
          </b:Person>
        </b:NameList>
      </b:Author>
    </b:Author>
    <b:Title>Investigating Diversity in the Banking Sector in Europe: Key Developments, Performance and Role of Cooperative Banks</b:Title>
    <b:Year>2010</b:Year>
    <b:City>Brussels</b:City>
    <b:Publisher>Centre for European Policy Studies</b:Publisher>
    <b:RefOrder>39</b:RefOrder>
  </b:Source>
  <b:Source>
    <b:Tag>All01</b:Tag>
    <b:SourceType>Book</b:SourceType>
    <b:Guid>{6DFA7A18-E690-4935-ADC2-3CEC59C6C6ED}</b:Guid>
    <b:Author>
      <b:Author>
        <b:NameList>
          <b:Person>
            <b:Last>Allison</b:Last>
            <b:First>P.</b:First>
            <b:Middle>D.</b:Middle>
          </b:Person>
        </b:NameList>
      </b:Author>
    </b:Author>
    <b:Title>Missing data (Sage University Paper Series on Quantitative Applications in the Social Sciences series no. 07-136)</b:Title>
    <b:Year>2001</b:Year>
    <b:City>Thousand Oaks, CA</b:City>
    <b:Publisher>Sage</b:Publisher>
    <b:RefOrder>4</b:RefOrder>
  </b:Source>
  <b:Source>
    <b:Tag>Mur03</b:Tag>
    <b:SourceType>Book</b:SourceType>
    <b:Guid>{3D3E40AB-0D1C-492A-AF82-EA8E4C53458F}</b:Guid>
    <b:Title>A Study on Financial Ratios of major Commercial Banks</b:Title>
    <b:Year>2003</b:Year>
    <b:Author>
      <b:Author>
        <b:Corporate>Murthy, Y., &amp;  Sree, R.</b:Corporate>
      </b:Author>
    </b:Author>
    <b:City>Sultanate of Oman</b:City>
    <b:Publisher>College of Banking &amp; Financial Studies</b:Publisher>
    <b:RefOrder>40</b:RefOrder>
  </b:Source>
  <b:Source>
    <b:Tag>Khr11</b:Tag>
    <b:SourceType>JournalArticle</b:SourceType>
    <b:Guid>{6B18AABA-3BE0-4E89-B6F7-62F1A25CF174}</b:Guid>
    <b:Title>Determinants of Commercial Banks Performance: Evidence from Jordan</b:Title>
    <b:Year>2011</b:Year>
    <b:Author>
      <b:Author>
        <b:NameList>
          <b:Person>
            <b:Last>Khrawish</b:Last>
            <b:First>H.A.</b:First>
          </b:Person>
        </b:NameList>
      </b:Author>
    </b:Author>
    <b:Volume>5</b:Volume>
    <b:Pages>19-45</b:Pages>
    <b:JournalName>International Research Journal of Finance and Economics</b:JournalName>
    <b:Issue>5</b:Issue>
    <b:RefOrder>41</b:RefOrder>
  </b:Source>
  <b:Source>
    <b:Tag>Wen10</b:Tag>
    <b:SourceType>Book</b:SourceType>
    <b:Guid>{A0A934E6-58A2-495C-B31D-5D22327C9EA4}</b:Guid>
    <b:Title>Ownership Structure and Banking Performance: New Evidence in China</b:Title>
    <b:Year>2010</b:Year>
    <b:Author>
      <b:Author>
        <b:NameList>
          <b:Person>
            <b:Last>Wen</b:Last>
            <b:First>W.</b:First>
          </b:Person>
        </b:NameList>
      </b:Author>
    </b:Author>
    <b:City>Barcelona</b:City>
    <b:Publisher>Universitat Autònoma de Barcelona Departament D’economia de L’empresa</b:Publisher>
    <b:RefOrder>7</b:RefOrder>
  </b:Source>
  <b:Source>
    <b:Tag>Gul11</b:Tag>
    <b:SourceType>JournalArticle</b:SourceType>
    <b:Guid>{82E1843F-4643-4442-B5BA-263604B55D82}</b:Guid>
    <b:Title>Factors Affecting Bank Profitability in Pakistan</b:Title>
    <b:Year>2011</b:Year>
    <b:Author>
      <b:Author>
        <b:Corporate>Gul, S., Faiza, I., &amp;  Khalid, Z.</b:Corporate>
      </b:Author>
    </b:Author>
    <b:Volume>2</b:Volume>
    <b:Pages>6-9</b:Pages>
    <b:JournalName>The Romanian Economic Journal</b:JournalName>
    <b:Issue>3</b:Issue>
    <b:RefOrder>42</b:RefOrder>
  </b:Source>
  <b:Source>
    <b:Tag>Dia00</b:Tag>
    <b:SourceType>JournalArticle</b:SourceType>
    <b:Guid>{4C2317B7-8034-49E1-953B-4E319BA27C9B}</b:Guid>
    <b:Title>A Theory of Bank Capital</b:Title>
    <b:JournalName>The Journal of Finance</b:JournalName>
    <b:Year>2000</b:Year>
    <b:Pages>12 - 23</b:Pages>
    <b:Author>
      <b:Author>
        <b:Corporate>Diamond, D.W., &amp; Raghuram, A.</b:Corporate>
      </b:Author>
    </b:Author>
    <b:Volume>52</b:Volume>
    <b:Issue>6</b:Issue>
    <b:RefOrder>43</b:RefOrder>
  </b:Source>
  <b:Source>
    <b:Tag>Dan11</b:Tag>
    <b:SourceType>Book</b:SourceType>
    <b:Guid>{EA5F4D29-7E0B-49C7-98D8-7A17BC299D53}</b:Guid>
    <b:Title>The CAMEL Rating System in Banking Supervision: a Case Study of Arcada</b:Title>
    <b:Year>2011</b:Year>
    <b:Author>
      <b:Author>
        <b:NameList>
          <b:Person>
            <b:Last>Dang</b:Last>
            <b:First>Uyen.</b:First>
          </b:Person>
        </b:NameList>
      </b:Author>
    </b:Author>
    <b:City>Hochschule Karlsruhe</b:City>
    <b:Publisher>University of Applied Sciences</b:Publisher>
    <b:RefOrder>44</b:RefOrder>
  </b:Source>
  <b:Source>
    <b:Tag>San101</b:Tag>
    <b:SourceType>JournalArticle</b:SourceType>
    <b:Guid>{E05E2A89-EE2A-49A5-9CB5-A3E033077155}</b:Guid>
    <b:Title>Analyzing Financial Performance of Commercial Banks in India: Application of CAMEL Model</b:Title>
    <b:Year>2010</b:Year>
    <b:Author>
      <b:Author>
        <b:Corporate>Sangmi, M., Tabassum, N.</b:Corporate>
      </b:Author>
    </b:Author>
    <b:Volume>1</b:Volume>
    <b:Pages>1- 10</b:Pages>
    <b:JournalName>Pakistan Journal Commercial Social Sciences</b:JournalName>
    <b:Issue>1</b:Issue>
    <b:RefOrder>45</b:RefOrder>
  </b:Source>
  <b:Source>
    <b:Tag>Placeholder3</b:Tag>
    <b:SourceType>Report</b:SourceType>
    <b:Guid>{AA3D77C5-9177-418C-9570-2416361DE1FC}</b:Guid>
    <b:Title>Evaluating loans portfolio and the financial position of financial  institutions</b:Title>
    <b:Year>2015</b:Year>
    <b:Publisher>National Bank of Rwanda [BNR]</b:Publisher>
    <b:City>Kigali - Rwanda</b:City>
    <b:Author>
      <b:Author>
        <b:Corporate>National Bank of Rwanda [BNR]</b:Corporate>
      </b:Author>
    </b:Author>
    <b:RefOrder>46</b:RefOrder>
  </b:Source>
  <b:Source>
    <b:Tag>Ban14</b:Tag>
    <b:SourceType>Report</b:SourceType>
    <b:Guid>{17D99A96-B296-4D18-81B0-C31991C7BE75}</b:Guid>
    <b:Title>Banque Populaire du Rwanda organization (employees) structure</b:Title>
    <b:Year>2014</b:Year>
    <b:City>Kigali - Rwanda</b:City>
    <b:Publisher>Banque Populaire du Rwanda</b:Publisher>
    <b:Author>
      <b:Author>
        <b:Corporate>Banque Populaire du Rwanda</b:Corporate>
      </b:Author>
    </b:Author>
    <b:RefOrder>47</b:RefOrder>
  </b:Source>
  <b:Source>
    <b:Tag>Dia021</b:Tag>
    <b:SourceType>JournalArticle</b:SourceType>
    <b:Guid>{8C006ADD-24FE-415F-9D24-1836BF52EF70}</b:Guid>
    <b:Author>
      <b:Author>
        <b:NameList>
          <b:Person>
            <b:Last>Diamond</b:Last>
            <b:First>D</b:First>
          </b:Person>
        </b:NameList>
      </b:Author>
    </b:Author>
    <b:Title>Financial Intermediation and delegated monitoring</b:Title>
    <b:JournalName>Review of Economic Studies</b:JournalName>
    <b:Year>2002</b:Year>
    <b:Pages>393-414</b:Pages>
    <b:Volume>51(3)</b:Volume>
    <b:RefOrder>16</b:RefOrder>
  </b:Source>
  <b:Source>
    <b:Tag>Dwi04</b:Tag>
    <b:SourceType>Book</b:SourceType>
    <b:Guid>{77724127-CD62-418A-A396-D6A6BEFF3547}</b:Guid>
    <b:Title>The Role of Non-Performing Loans in china</b:Title>
    <b:Year>2004</b:Year>
    <b:City>Beijing</b:City>
    <b:Publisher>A Public Finance Approach</b:Publisher>
    <b:Author>
      <b:Author>
        <b:NameList>
          <b:Person>
            <b:Last>Dwight</b:Last>
            <b:First>Lawrence</b:First>
          </b:Person>
        </b:NameList>
      </b:Author>
    </b:Author>
    <b:RefOrder>15</b:RefOrder>
  </b:Source>
  <b:Source>
    <b:Tag>San84</b:Tag>
    <b:SourceType>JournalArticle</b:SourceType>
    <b:Guid>{5D0A6DD7-7434-4EFF-9299-EF021DF65732}</b:Guid>
    <b:Title>Modelling the Banking Firm: A Survey</b:Title>
    <b:Year>1984</b:Year>
    <b:Volume>vol.16</b:Volume>
    <b:StandardNumber>4</b:StandardNumber>
    <b:Pages>pp.576-602</b:Pages>
    <b:Author>
      <b:Author>
        <b:Corporate>Santomero &amp;  Anthony M.,</b:Corporate>
      </b:Author>
    </b:Author>
    <b:JournalName>Journal of Money, Credit and Banking</b:JournalName>
    <b:Issue>4</b:Issue>
    <b:RefOrder>17</b:RefOrder>
  </b:Source>
  <b:Source>
    <b:Tag>Hip05</b:Tag>
    <b:SourceType>Book</b:SourceType>
    <b:Guid>{EE32B29D-FDF5-4948-866D-83C01B44ECA3}</b:Guid>
    <b:Author>
      <b:Author>
        <b:NameList>
          <b:Person>
            <b:Last>Hippolyte</b:Last>
            <b:First>Fofack</b:First>
          </b:Person>
        </b:NameList>
      </b:Author>
    </b:Author>
    <b:Title>Nonperforming Loans In Sub-Saharan Africa: Causal analysis and macro economic implications</b:Title>
    <b:Year>2005</b:Year>
    <b:City>London</b:City>
    <b:Publisher>World Bank</b:Publisher>
    <b:RefOrder>1</b:RefOrder>
  </b:Source>
  <b:Source>
    <b:Tag>Cam07</b:Tag>
    <b:SourceType>JournalArticle</b:SourceType>
    <b:Guid>{BC73B04D-91D3-4977-8C42-9053B016FE7B}</b:Guid>
    <b:Title>Bank insolvency and the problem of nonperforming loans</b:Title>
    <b:JournalName>Journal of banking regurations</b:JournalName>
    <b:Year>2007</b:Year>
    <b:Pages>pp. 25 - 45</b:Pages>
    <b:Author>
      <b:Author>
        <b:Corporate>Campbell, A</b:Corporate>
      </b:Author>
    </b:Author>
    <b:Volume>Vol.9</b:Volume>
    <b:Issue>1</b:Issue>
    <b:RefOrder>3</b:RefOrder>
  </b:Source>
  <b:Source>
    <b:Tag>Bes10</b:Tag>
    <b:SourceType>Book</b:SourceType>
    <b:Guid>{80038FEC-6FCE-4667-89F5-4821BBF5F89F}</b:Guid>
    <b:Title>Risk Management in Banking</b:Title>
    <b:Year>2010</b:Year>
    <b:Author>
      <b:Author>
        <b:NameList>
          <b:Person>
            <b:Last>Bessis</b:Last>
            <b:First>J</b:First>
          </b:Person>
        </b:NameList>
      </b:Author>
    </b:Author>
    <b:City>London</b:City>
    <b:Publisher>Wiley</b:Publisher>
    <b:Edition>3</b:Edition>
    <b:RefOrder>2</b:RefOrder>
  </b:Source>
</b:Sources>
</file>

<file path=customXml/itemProps1.xml><?xml version="1.0" encoding="utf-8"?>
<ds:datastoreItem xmlns:ds="http://schemas.openxmlformats.org/officeDocument/2006/customXml" ds:itemID="{152FD979-117B-4ADA-A62A-F79079DF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6391</Words>
  <Characters>36435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2016-07-07T15:25:00Z</cp:lastPrinted>
  <dcterms:created xsi:type="dcterms:W3CDTF">2016-09-29T21:07:00Z</dcterms:created>
  <dcterms:modified xsi:type="dcterms:W3CDTF">2016-09-29T21:07:00Z</dcterms:modified>
</cp:coreProperties>
</file>